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2C" w:rsidRDefault="00D97B2F" w:rsidP="00E94545">
      <w:pPr>
        <w:pStyle w:val="Vchozstyl"/>
        <w:spacing w:after="0" w:line="100" w:lineRule="atLeast"/>
        <w:jc w:val="both"/>
        <w:rPr>
          <w:noProof/>
          <w:lang w:eastAsia="cs-CZ"/>
        </w:rPr>
      </w:pPr>
      <w:r>
        <w:rPr>
          <w:noProof/>
          <w:lang w:eastAsia="cs-CZ"/>
        </w:rPr>
        <w:drawing>
          <wp:inline distT="0" distB="0" distL="0" distR="0">
            <wp:extent cx="1333500" cy="428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sidR="00E4392C">
        <w:rPr>
          <w:noProof/>
          <w:lang w:eastAsia="cs-CZ"/>
        </w:rPr>
        <w:t xml:space="preserve">            </w:t>
      </w:r>
      <w:r w:rsidR="00E4392C">
        <w:rPr>
          <w:rFonts w:ascii="Times New Roman" w:hAnsi="Times New Roman" w:cs="Times New Roman"/>
          <w:b/>
          <w:bCs/>
          <w:sz w:val="28"/>
          <w:szCs w:val="28"/>
        </w:rPr>
        <w:t>5. schůze VV ÚV KSČM dne 19. 10. 2018</w:t>
      </w:r>
    </w:p>
    <w:p w:rsidR="00E4392C" w:rsidRDefault="00E4392C" w:rsidP="00E94545">
      <w:pPr>
        <w:pStyle w:val="Vchozstyl"/>
        <w:spacing w:after="0" w:line="100" w:lineRule="atLeast"/>
        <w:ind w:firstLine="709"/>
        <w:jc w:val="both"/>
      </w:pPr>
    </w:p>
    <w:p w:rsidR="00E4392C" w:rsidRPr="00684AE6" w:rsidRDefault="00E4392C" w:rsidP="00E94545">
      <w:pPr>
        <w:tabs>
          <w:tab w:val="left" w:pos="360"/>
          <w:tab w:val="left" w:pos="1620"/>
        </w:tabs>
        <w:ind w:left="992" w:hanging="992"/>
        <w:jc w:val="both"/>
        <w:rPr>
          <w:bCs/>
          <w:sz w:val="23"/>
          <w:szCs w:val="23"/>
          <w:lang w:val="cs-CZ"/>
        </w:rPr>
      </w:pPr>
      <w:r w:rsidRPr="00684AE6">
        <w:rPr>
          <w:rFonts w:ascii="Times New Roman" w:hAnsi="Times New Roman"/>
          <w:b/>
          <w:bCs/>
          <w:sz w:val="23"/>
          <w:szCs w:val="23"/>
          <w:lang w:val="cs-CZ"/>
        </w:rPr>
        <w:t xml:space="preserve">K bodu: </w:t>
      </w:r>
      <w:r w:rsidR="00D97B2F">
        <w:rPr>
          <w:rFonts w:ascii="Times New Roman" w:hAnsi="Times New Roman"/>
          <w:b/>
          <w:bCs/>
          <w:sz w:val="23"/>
          <w:szCs w:val="23"/>
          <w:lang w:val="cs-CZ"/>
        </w:rPr>
        <w:t>Přístup</w:t>
      </w:r>
      <w:r>
        <w:rPr>
          <w:rFonts w:ascii="Times New Roman" w:hAnsi="Times New Roman"/>
          <w:b/>
          <w:bCs/>
          <w:sz w:val="23"/>
          <w:szCs w:val="23"/>
          <w:lang w:val="cs-CZ"/>
        </w:rPr>
        <w:t xml:space="preserve"> k návrhu státního rozpočtu na rok 2019</w:t>
      </w:r>
    </w:p>
    <w:p w:rsidR="00E4392C" w:rsidRPr="00684AE6" w:rsidRDefault="00E4392C" w:rsidP="00E94545">
      <w:pPr>
        <w:pStyle w:val="Vchozstyl"/>
        <w:tabs>
          <w:tab w:val="left" w:pos="360"/>
        </w:tabs>
        <w:spacing w:after="0" w:line="100" w:lineRule="atLeast"/>
        <w:jc w:val="both"/>
        <w:rPr>
          <w:sz w:val="23"/>
          <w:szCs w:val="23"/>
        </w:rPr>
      </w:pPr>
    </w:p>
    <w:p w:rsidR="00E4392C" w:rsidRPr="00684AE6" w:rsidRDefault="00E4392C" w:rsidP="00E94545">
      <w:pPr>
        <w:pStyle w:val="Vchozstyl"/>
        <w:spacing w:after="0" w:line="100" w:lineRule="atLeast"/>
        <w:jc w:val="both"/>
        <w:rPr>
          <w:sz w:val="23"/>
          <w:szCs w:val="23"/>
        </w:rPr>
      </w:pPr>
      <w:r w:rsidRPr="00684AE6">
        <w:rPr>
          <w:rFonts w:ascii="Times New Roman" w:hAnsi="Times New Roman" w:cs="Times New Roman"/>
          <w:b/>
          <w:bCs/>
          <w:sz w:val="23"/>
          <w:szCs w:val="23"/>
        </w:rPr>
        <w:t xml:space="preserve">Předkládá: </w:t>
      </w:r>
      <w:r>
        <w:rPr>
          <w:rFonts w:ascii="Times New Roman" w:hAnsi="Times New Roman" w:cs="Times New Roman"/>
          <w:b/>
          <w:bCs/>
          <w:sz w:val="23"/>
          <w:szCs w:val="23"/>
        </w:rPr>
        <w:t xml:space="preserve"> S</w:t>
      </w:r>
      <w:r w:rsidRPr="00684AE6">
        <w:rPr>
          <w:rFonts w:ascii="Times New Roman" w:hAnsi="Times New Roman" w:cs="Times New Roman"/>
          <w:b/>
          <w:bCs/>
          <w:sz w:val="23"/>
          <w:szCs w:val="23"/>
        </w:rPr>
        <w:t xml:space="preserve">. </w:t>
      </w:r>
      <w:r>
        <w:rPr>
          <w:rFonts w:ascii="Times New Roman" w:hAnsi="Times New Roman" w:cs="Times New Roman"/>
          <w:b/>
          <w:bCs/>
          <w:sz w:val="23"/>
          <w:szCs w:val="23"/>
        </w:rPr>
        <w:t xml:space="preserve"> Grospič</w:t>
      </w:r>
    </w:p>
    <w:p w:rsidR="00E4392C" w:rsidRPr="00684AE6" w:rsidRDefault="00E4392C" w:rsidP="00E94545">
      <w:pPr>
        <w:pStyle w:val="Vchozstyl"/>
        <w:spacing w:after="0" w:line="100" w:lineRule="atLeast"/>
        <w:jc w:val="both"/>
        <w:rPr>
          <w:sz w:val="23"/>
          <w:szCs w:val="23"/>
        </w:rPr>
      </w:pPr>
    </w:p>
    <w:p w:rsidR="00E4392C" w:rsidRPr="00684AE6" w:rsidRDefault="00E4392C" w:rsidP="00E94545">
      <w:pPr>
        <w:pStyle w:val="Vchozstyl"/>
        <w:spacing w:after="0" w:line="100" w:lineRule="atLeast"/>
        <w:jc w:val="both"/>
        <w:rPr>
          <w:sz w:val="23"/>
          <w:szCs w:val="23"/>
        </w:rPr>
      </w:pPr>
      <w:r w:rsidRPr="00684AE6">
        <w:rPr>
          <w:rFonts w:ascii="Times New Roman" w:hAnsi="Times New Roman" w:cs="Times New Roman"/>
          <w:b/>
          <w:bCs/>
          <w:color w:val="000000"/>
          <w:sz w:val="23"/>
          <w:szCs w:val="23"/>
        </w:rPr>
        <w:t>Návrh usnesení:</w:t>
      </w:r>
    </w:p>
    <w:p w:rsidR="00E4392C" w:rsidRPr="00684AE6" w:rsidRDefault="00E4392C" w:rsidP="00E94545">
      <w:pPr>
        <w:pStyle w:val="Vchozstyl"/>
        <w:spacing w:after="0" w:line="100" w:lineRule="atLeast"/>
        <w:jc w:val="both"/>
        <w:rPr>
          <w:sz w:val="23"/>
          <w:szCs w:val="23"/>
        </w:rPr>
      </w:pPr>
      <w:r w:rsidRPr="00684AE6">
        <w:rPr>
          <w:rFonts w:ascii="Times New Roman" w:hAnsi="Times New Roman" w:cs="Times New Roman"/>
          <w:b/>
          <w:bCs/>
          <w:color w:val="000000"/>
          <w:sz w:val="23"/>
          <w:szCs w:val="23"/>
        </w:rPr>
        <w:t>VV ÚV KSČM</w:t>
      </w:r>
    </w:p>
    <w:p w:rsidR="00E4392C" w:rsidRDefault="00E4392C" w:rsidP="009C1037">
      <w:pPr>
        <w:pStyle w:val="Vchozstyl"/>
        <w:spacing w:after="0" w:line="100" w:lineRule="atLeast"/>
        <w:jc w:val="both"/>
        <w:rPr>
          <w:rFonts w:ascii="Times New Roman" w:hAnsi="Times New Roman" w:cs="Times New Roman"/>
          <w:b/>
          <w:bCs/>
          <w:color w:val="000000"/>
          <w:sz w:val="23"/>
          <w:szCs w:val="23"/>
        </w:rPr>
      </w:pPr>
    </w:p>
    <w:p w:rsidR="00E4392C" w:rsidRDefault="00E4392C" w:rsidP="009C1037">
      <w:pPr>
        <w:pStyle w:val="Vchozstyl"/>
        <w:spacing w:after="0" w:line="100" w:lineRule="atLeast"/>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Doporučuje Poslaneckému klubu KSČM v PS PČR </w:t>
      </w:r>
      <w:r w:rsidR="00FF162F">
        <w:rPr>
          <w:rFonts w:ascii="Times New Roman" w:hAnsi="Times New Roman" w:cs="Times New Roman"/>
          <w:b/>
          <w:bCs/>
          <w:color w:val="000000"/>
          <w:sz w:val="23"/>
          <w:szCs w:val="23"/>
        </w:rPr>
        <w:t>souhlasit s návrhe</w:t>
      </w:r>
      <w:r w:rsidR="00B54C7C">
        <w:rPr>
          <w:rFonts w:ascii="Times New Roman" w:hAnsi="Times New Roman" w:cs="Times New Roman"/>
          <w:b/>
          <w:bCs/>
          <w:color w:val="000000"/>
          <w:sz w:val="23"/>
          <w:szCs w:val="23"/>
        </w:rPr>
        <w:t>m</w:t>
      </w:r>
      <w:r w:rsidR="00FF162F">
        <w:rPr>
          <w:rFonts w:ascii="Times New Roman" w:hAnsi="Times New Roman" w:cs="Times New Roman"/>
          <w:b/>
          <w:bCs/>
          <w:color w:val="000000"/>
          <w:sz w:val="23"/>
          <w:szCs w:val="23"/>
        </w:rPr>
        <w:t xml:space="preserve"> státního rozpočtu</w:t>
      </w:r>
      <w:r w:rsidR="00B54C7C">
        <w:rPr>
          <w:rFonts w:ascii="Times New Roman" w:hAnsi="Times New Roman" w:cs="Times New Roman"/>
          <w:b/>
          <w:bCs/>
          <w:color w:val="000000"/>
          <w:sz w:val="23"/>
          <w:szCs w:val="23"/>
        </w:rPr>
        <w:t xml:space="preserve"> </w:t>
      </w:r>
      <w:r w:rsidR="00FF162F">
        <w:rPr>
          <w:rFonts w:ascii="Times New Roman" w:hAnsi="Times New Roman" w:cs="Times New Roman"/>
          <w:b/>
          <w:bCs/>
          <w:color w:val="000000"/>
          <w:sz w:val="23"/>
          <w:szCs w:val="23"/>
        </w:rPr>
        <w:t xml:space="preserve">v prvním čtení </w:t>
      </w:r>
    </w:p>
    <w:p w:rsidR="004B2E01" w:rsidRDefault="004B2E01" w:rsidP="009C1037">
      <w:pPr>
        <w:pStyle w:val="Vchozstyl"/>
        <w:spacing w:after="0" w:line="100" w:lineRule="atLeast"/>
        <w:jc w:val="both"/>
        <w:rPr>
          <w:rFonts w:ascii="Times New Roman" w:hAnsi="Times New Roman" w:cs="Times New Roman"/>
          <w:b/>
          <w:bCs/>
          <w:color w:val="000000"/>
          <w:sz w:val="23"/>
          <w:szCs w:val="23"/>
        </w:rPr>
      </w:pPr>
    </w:p>
    <w:p w:rsidR="004B2E01" w:rsidRDefault="004B2E01" w:rsidP="009C1037">
      <w:pPr>
        <w:pStyle w:val="Vchozstyl"/>
        <w:spacing w:after="0" w:line="100" w:lineRule="atLeast"/>
        <w:jc w:val="both"/>
        <w:rPr>
          <w:rFonts w:ascii="Times New Roman" w:hAnsi="Times New Roman" w:cs="Times New Roman"/>
          <w:b/>
          <w:bCs/>
          <w:color w:val="000000"/>
          <w:sz w:val="23"/>
          <w:szCs w:val="23"/>
        </w:rPr>
      </w:pPr>
    </w:p>
    <w:p w:rsidR="004B2E01" w:rsidRDefault="004B2E01" w:rsidP="009C1037">
      <w:pPr>
        <w:pStyle w:val="Vchozstyl"/>
        <w:spacing w:after="0" w:line="100" w:lineRule="atLeast"/>
        <w:jc w:val="both"/>
        <w:rPr>
          <w:rFonts w:ascii="Times New Roman" w:hAnsi="Times New Roman" w:cs="Times New Roman"/>
          <w:b/>
          <w:bCs/>
          <w:color w:val="000000"/>
          <w:sz w:val="23"/>
          <w:szCs w:val="23"/>
        </w:rPr>
      </w:pPr>
    </w:p>
    <w:p w:rsidR="004B2E01" w:rsidRDefault="004B2E01" w:rsidP="009C1037">
      <w:pPr>
        <w:pStyle w:val="Vchozstyl"/>
        <w:spacing w:after="0" w:line="100" w:lineRule="atLeast"/>
        <w:jc w:val="both"/>
        <w:rPr>
          <w:rFonts w:ascii="Times New Roman" w:hAnsi="Times New Roman" w:cs="Times New Roman"/>
          <w:b/>
          <w:bCs/>
          <w:color w:val="000000"/>
          <w:sz w:val="23"/>
          <w:szCs w:val="23"/>
        </w:rPr>
      </w:pPr>
    </w:p>
    <w:p w:rsidR="004B2E01" w:rsidRPr="004B2E01" w:rsidRDefault="00D97B2F" w:rsidP="004B2E01">
      <w:pPr>
        <w:pBdr>
          <w:top w:val="single" w:sz="4" w:space="1" w:color="auto"/>
          <w:left w:val="single" w:sz="4" w:space="4" w:color="auto"/>
          <w:bottom w:val="single" w:sz="4" w:space="1" w:color="auto"/>
          <w:right w:val="single" w:sz="4" w:space="4" w:color="auto"/>
        </w:pBdr>
        <w:tabs>
          <w:tab w:val="left" w:pos="360"/>
          <w:tab w:val="left" w:pos="1620"/>
        </w:tabs>
        <w:ind w:left="992" w:hanging="992"/>
        <w:jc w:val="center"/>
        <w:rPr>
          <w:bCs/>
          <w:sz w:val="32"/>
          <w:szCs w:val="32"/>
          <w:lang w:val="cs-CZ"/>
        </w:rPr>
      </w:pPr>
      <w:r>
        <w:rPr>
          <w:rFonts w:ascii="Times New Roman" w:hAnsi="Times New Roman"/>
          <w:b/>
          <w:bCs/>
          <w:sz w:val="32"/>
          <w:szCs w:val="32"/>
          <w:lang w:val="cs-CZ"/>
        </w:rPr>
        <w:t>Přístup</w:t>
      </w:r>
      <w:r w:rsidR="004B2E01" w:rsidRPr="004B2E01">
        <w:rPr>
          <w:rFonts w:ascii="Times New Roman" w:hAnsi="Times New Roman"/>
          <w:b/>
          <w:bCs/>
          <w:sz w:val="32"/>
          <w:szCs w:val="32"/>
          <w:lang w:val="cs-CZ"/>
        </w:rPr>
        <w:t xml:space="preserve"> k návrhu státního rozpočtu na rok 2019</w:t>
      </w:r>
    </w:p>
    <w:p w:rsidR="004B2E01" w:rsidRPr="00684AE6" w:rsidRDefault="004B2E01" w:rsidP="004B2E01">
      <w:pPr>
        <w:pStyle w:val="Vchozstyl"/>
        <w:tabs>
          <w:tab w:val="left" w:pos="360"/>
        </w:tabs>
        <w:spacing w:after="0" w:line="100" w:lineRule="atLeast"/>
        <w:jc w:val="both"/>
        <w:rPr>
          <w:sz w:val="23"/>
          <w:szCs w:val="23"/>
        </w:rPr>
      </w:pPr>
    </w:p>
    <w:p w:rsidR="00FF162F" w:rsidRPr="002D5515" w:rsidRDefault="00FF162F" w:rsidP="00FF162F">
      <w:pPr>
        <w:pStyle w:val="Zkladntext"/>
        <w:jc w:val="both"/>
        <w:rPr>
          <w:rFonts w:ascii="Times New Roman" w:hAnsi="Times New Roman"/>
          <w:color w:val="auto"/>
          <w:kern w:val="0"/>
          <w:sz w:val="24"/>
          <w:szCs w:val="24"/>
          <w:lang w:val="cs-CZ"/>
        </w:rPr>
      </w:pPr>
      <w:r w:rsidRPr="002D5515">
        <w:rPr>
          <w:rFonts w:ascii="Times New Roman" w:hAnsi="Times New Roman"/>
          <w:sz w:val="24"/>
          <w:szCs w:val="24"/>
        </w:rPr>
        <w:t xml:space="preserve">        Jde o </w:t>
      </w:r>
      <w:r w:rsidRPr="002D5515">
        <w:rPr>
          <w:rFonts w:ascii="Times New Roman" w:hAnsi="Times New Roman"/>
          <w:b/>
          <w:sz w:val="24"/>
          <w:szCs w:val="24"/>
          <w:u w:val="single"/>
        </w:rPr>
        <w:t>první rozpočet menšinové vlády ANO a ČSSD</w:t>
      </w:r>
      <w:r w:rsidRPr="002D5515">
        <w:rPr>
          <w:rFonts w:ascii="Times New Roman" w:hAnsi="Times New Roman"/>
          <w:sz w:val="24"/>
          <w:szCs w:val="24"/>
        </w:rPr>
        <w:t xml:space="preserve">. Vychází  z programového prohlášení této vlády z července 2018 a z rozpočtové strategie veřejného sektoru z dubna 2018. přípravu rozpočtu již projednává nově zřízená Národní rozpočtová rada. Konsolidovaný výdajový rámec je projednán i v rámci evropské koordinace (tzv. evropský semestr). Konečný návrh již ocenil prezident Zeman a avizoval, že ho přijde podpořit do Sněmovny. Obdobně návrh projednaly a podpořily odbory. </w:t>
      </w:r>
    </w:p>
    <w:p w:rsidR="00FF162F" w:rsidRDefault="00FF162F" w:rsidP="00FF162F">
      <w:pPr>
        <w:pStyle w:val="Vfdchozedstyl"/>
        <w:ind w:left="360"/>
        <w:jc w:val="both"/>
        <w:rPr>
          <w:b/>
          <w:u w:val="single"/>
        </w:rPr>
      </w:pPr>
      <w:r>
        <w:rPr>
          <w:b/>
          <w:u w:val="single"/>
        </w:rPr>
        <w:t>Ze stanoviska ČMKOS k návrhu rozpočtu (září 2018) :</w:t>
      </w:r>
    </w:p>
    <w:p w:rsidR="00FF162F" w:rsidRDefault="00FF162F" w:rsidP="00FF162F">
      <w:pPr>
        <w:pStyle w:val="Vfdchozedstyl"/>
        <w:ind w:left="360"/>
        <w:jc w:val="both"/>
        <w:rPr>
          <w:szCs w:val="24"/>
          <w:lang w:eastAsia="cs-CZ" w:bidi="ar-SA"/>
        </w:rPr>
      </w:pP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i/>
          <w:sz w:val="23"/>
          <w:szCs w:val="23"/>
        </w:rPr>
      </w:pPr>
      <w:r>
        <w:rPr>
          <w:bCs/>
          <w:i/>
          <w:sz w:val="23"/>
          <w:szCs w:val="23"/>
        </w:rPr>
        <w:t>1</w:t>
      </w:r>
      <w:r>
        <w:rPr>
          <w:i/>
          <w:sz w:val="23"/>
          <w:szCs w:val="23"/>
        </w:rPr>
        <w:t>. P</w:t>
      </w:r>
      <w:r>
        <w:rPr>
          <w:bCs/>
          <w:i/>
          <w:sz w:val="23"/>
          <w:szCs w:val="23"/>
        </w:rPr>
        <w:t>odporuje kroky vlády, které budou směřovány proti daňovým únikům.</w:t>
      </w:r>
      <w:r>
        <w:rPr>
          <w:i/>
          <w:sz w:val="23"/>
          <w:szCs w:val="23"/>
        </w:rPr>
        <w:t xml:space="preserve"> V této souvislosti považuje ČMKOS pro nejbližší období za prioritu dokončit projekt EET (III. a IV. Etapu) </w:t>
      </w: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i/>
          <w:sz w:val="23"/>
          <w:szCs w:val="23"/>
        </w:rPr>
      </w:pPr>
      <w:r>
        <w:rPr>
          <w:i/>
          <w:sz w:val="23"/>
          <w:szCs w:val="23"/>
        </w:rPr>
        <w:t>2</w:t>
      </w:r>
      <w:r>
        <w:rPr>
          <w:bCs/>
          <w:i/>
          <w:sz w:val="23"/>
          <w:szCs w:val="23"/>
        </w:rPr>
        <w:t>. Oceňuje současnou koalici za to, že se jednoznačně snaží naplňovat sliby občanům, formulovaným ve svém programovém prohlášení (zejm. zvyšování důchodů, zvýšení platů ve veřejném sektoru, slev jízdného ve veřejné dopravě pro seniory, děti, žáky a studenty i navýšení plateb za státní pojištěnce)</w:t>
      </w: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bCs/>
          <w:i/>
          <w:sz w:val="23"/>
          <w:szCs w:val="23"/>
        </w:rPr>
      </w:pPr>
      <w:r>
        <w:rPr>
          <w:bCs/>
          <w:i/>
          <w:sz w:val="23"/>
          <w:szCs w:val="23"/>
        </w:rPr>
        <w:t xml:space="preserve">3. Považuje oceňuje že se podařilo v oblasti růstu platů pro rok 2019 sjednat velmi služný kompromis a přispět tak k zachování sociálního smíru. </w:t>
      </w: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i/>
          <w:color w:val="auto"/>
          <w:sz w:val="23"/>
          <w:szCs w:val="23"/>
        </w:rPr>
      </w:pPr>
      <w:r>
        <w:rPr>
          <w:bCs/>
          <w:i/>
          <w:color w:val="auto"/>
          <w:sz w:val="23"/>
          <w:szCs w:val="23"/>
        </w:rPr>
        <w:t xml:space="preserve">4. Očekává, že se výrazně prorůstává politika vlády vyjádřená mimo jiné  nárůstem platů ve veřejném sektoru a očekávaný nárůst minimální mzdy se stanou pro příští rok výrazným impulsem pro nárůst mezd v podnikatelské sféře. </w:t>
      </w: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i/>
          <w:color w:val="auto"/>
          <w:sz w:val="23"/>
          <w:szCs w:val="23"/>
        </w:rPr>
      </w:pPr>
      <w:r>
        <w:rPr>
          <w:bCs/>
          <w:i/>
          <w:color w:val="auto"/>
          <w:sz w:val="23"/>
          <w:szCs w:val="23"/>
        </w:rPr>
        <w:t xml:space="preserve">5. Upozorňuje na výrazná rizika spojená s extrémním poklesem výdajů na aktivní politiku zaměstnanosti a doporučuje vládě znovu zvážit navýšení finančních prostředků v této oblasti </w:t>
      </w:r>
    </w:p>
    <w:p w:rsidR="00FF162F" w:rsidRDefault="00FF162F" w:rsidP="00FF162F">
      <w:pPr>
        <w:pStyle w:val="Default"/>
        <w:pBdr>
          <w:top w:val="single" w:sz="4" w:space="1" w:color="auto"/>
          <w:left w:val="single" w:sz="4" w:space="4" w:color="auto"/>
          <w:bottom w:val="single" w:sz="4" w:space="1" w:color="auto"/>
          <w:right w:val="single" w:sz="4" w:space="4" w:color="auto"/>
        </w:pBdr>
        <w:jc w:val="both"/>
        <w:rPr>
          <w:i/>
          <w:color w:val="auto"/>
          <w:sz w:val="23"/>
          <w:szCs w:val="23"/>
        </w:rPr>
      </w:pPr>
      <w:r>
        <w:rPr>
          <w:rFonts w:ascii="Calibri" w:hAnsi="Calibri" w:cs="Calibri"/>
          <w:bCs/>
          <w:i/>
          <w:color w:val="auto"/>
          <w:sz w:val="22"/>
          <w:szCs w:val="22"/>
        </w:rPr>
        <w:t>6. P</w:t>
      </w:r>
      <w:r>
        <w:rPr>
          <w:bCs/>
          <w:i/>
          <w:color w:val="auto"/>
          <w:sz w:val="23"/>
          <w:szCs w:val="23"/>
        </w:rPr>
        <w:t xml:space="preserve">ovažuje dlouhodobou (7 let) stagnaci životního minima za naprosto neúnosnou a požaduje zajistit od 1. ledna 2019 valorizaci životního a existenčního minima tak, aby alespoň byla zachována jeho reálná hodnota od poslední úpravy (tj. od počátku roku 2012) </w:t>
      </w:r>
    </w:p>
    <w:p w:rsidR="00FF162F" w:rsidRDefault="00FF162F" w:rsidP="00FF162F">
      <w:pPr>
        <w:pStyle w:val="Default"/>
        <w:jc w:val="both"/>
        <w:rPr>
          <w:bCs/>
          <w:i/>
          <w:sz w:val="23"/>
          <w:szCs w:val="23"/>
        </w:rPr>
      </w:pPr>
    </w:p>
    <w:p w:rsid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KSČM vládě podporu rozpočtu předem neslíbila, ale vznik vlády tolerovala za 7 programových priorit a jejich finanční zajištění logicky váže na návrh rozpočtu. To je hlavní politické kriterium v přístupu k návrhu. Tempo ekonomického růstu sice již klesá (jsme již pod úrovní potencionálního růstu 3%</w:t>
      </w:r>
      <w:r w:rsidR="004B2E01">
        <w:rPr>
          <w:rFonts w:ascii="Times New Roman" w:hAnsi="Times New Roman"/>
          <w:sz w:val="24"/>
          <w:szCs w:val="24"/>
        </w:rPr>
        <w:t xml:space="preserve"> </w:t>
      </w:r>
      <w:r w:rsidRPr="004B2E01">
        <w:rPr>
          <w:rFonts w:ascii="Times New Roman" w:hAnsi="Times New Roman"/>
          <w:sz w:val="24"/>
          <w:szCs w:val="24"/>
        </w:rPr>
        <w:t>HDP), ovšem vláda musí politicky dořešit sociální dluh po minulém volebn</w:t>
      </w:r>
      <w:r w:rsidR="00690157">
        <w:rPr>
          <w:rFonts w:ascii="Times New Roman" w:hAnsi="Times New Roman"/>
          <w:sz w:val="24"/>
          <w:szCs w:val="24"/>
        </w:rPr>
        <w:t>ím období, kdy se lidé nedočkali</w:t>
      </w:r>
      <w:bookmarkStart w:id="0" w:name="_GoBack"/>
      <w:bookmarkEnd w:id="0"/>
      <w:r w:rsidRPr="004B2E01">
        <w:rPr>
          <w:rFonts w:ascii="Times New Roman" w:hAnsi="Times New Roman"/>
          <w:sz w:val="24"/>
          <w:szCs w:val="24"/>
        </w:rPr>
        <w:t xml:space="preserve"> náležitého podílu na konjunktuře, která začala již v roce 2013. </w:t>
      </w:r>
    </w:p>
    <w:p w:rsidR="00FF162F" w:rsidRPr="004B2E01" w:rsidRDefault="00FF162F" w:rsidP="00FF162F">
      <w:pPr>
        <w:pStyle w:val="Zkladntext"/>
        <w:jc w:val="both"/>
        <w:rPr>
          <w:rFonts w:ascii="Times New Roman" w:hAnsi="Times New Roman"/>
          <w:b/>
          <w:sz w:val="24"/>
          <w:szCs w:val="24"/>
        </w:rPr>
      </w:pPr>
      <w:r w:rsidRPr="004B2E01">
        <w:rPr>
          <w:rFonts w:ascii="Times New Roman" w:hAnsi="Times New Roman"/>
          <w:b/>
          <w:sz w:val="24"/>
          <w:szCs w:val="24"/>
        </w:rPr>
        <w:lastRenderedPageBreak/>
        <w:t xml:space="preserve">Priority rozpočtu a priority KSČM : </w:t>
      </w: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Vláda uvádí 15 priorit pro rozpočet na příští rok. Ze 7 základních podmínek, které jsme měli pro jednorázovou podporu vládě, se plní nejméně 4 s pomocí tohoto návrhu. To znamená zvýšení minimální mzdy a růst mezd, Růst platů v státní správě o 30 mld Kč  není plošný. Platy pedagogických pracovníků vzrostou o 15%, vysoké školy by měly dostat navíc 2 mld Kč, ve školství to je i s podporou sportu navíc 28,6 mld Kč. Dále  policisté a hasiči o 8% – růst platů a mezd znamená i růst daňových a sociálních odvodů (penzijní účet proto je nyní v černých číslech). Hospodářská komora a Svaz průmyslu růst platů kritizuje.  Dále valorizaci důchodů, kde  průměrný starobní důchod  vzroste o 900,-Kč měsíčně na 13 286,-Kč.</w:t>
      </w: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 xml:space="preserve">A potom je důležitá otázka investiční, to znamená, jestli bude vláda schopna v investicích vykoupit akcie vodárenských společností a ochranu přírodního bohatství. Pokud jde o podporu bytové výstavby - výdaje SFRB mají stoupnout na 2,73 mld Kč. Výdajový rámec SFDI má vzrůst na 65,5 mld (o 11,7 mld). Slevy 75% na jízdné pro seniory a studenty bude mít rozpočtový dopad 5,7 mld Kč. Celkově mají být výrazně zvýšeny rozpočtové kapitálové výdaje oproti letošku o 21,7 mld.  </w:t>
      </w:r>
    </w:p>
    <w:p w:rsidR="00FF162F" w:rsidRPr="004B2E01" w:rsidRDefault="00FF162F" w:rsidP="00FF162F">
      <w:pPr>
        <w:pStyle w:val="Zkladntext"/>
        <w:jc w:val="both"/>
        <w:rPr>
          <w:rFonts w:ascii="Times New Roman" w:hAnsi="Times New Roman"/>
          <w:sz w:val="24"/>
          <w:szCs w:val="24"/>
        </w:rPr>
      </w:pP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 xml:space="preserve">      </w:t>
      </w:r>
      <w:r w:rsidRPr="004B2E01">
        <w:rPr>
          <w:rFonts w:ascii="Times New Roman" w:hAnsi="Times New Roman"/>
          <w:i/>
          <w:sz w:val="24"/>
          <w:szCs w:val="24"/>
        </w:rPr>
        <w:t xml:space="preserve">A.  K projednávání státního rozpočtu  v prvním čtení  </w:t>
      </w: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b/>
          <w:sz w:val="24"/>
          <w:szCs w:val="24"/>
          <w:u w:val="single"/>
        </w:rPr>
        <w:t>Rozpočtový výbor 10. října projednal usnesení pro 1. čtení</w:t>
      </w:r>
      <w:r w:rsidRPr="004B2E01">
        <w:rPr>
          <w:rFonts w:ascii="Times New Roman" w:hAnsi="Times New Roman"/>
          <w:sz w:val="24"/>
          <w:szCs w:val="24"/>
        </w:rPr>
        <w:t xml:space="preserve"> – jde o schválení objem příjmů 1,505 bilionu Kč, výdajů 1,465 bilionu Kč a  deficitu 40 mld Kč (+ způsob vypořádání salda, dotační vztahy k uzemním rozpočtům a  na vědomí  vztahy k EU). Veřejné finance jako celek mají být dokonce v přebytku (v r.2017 byla část výnosu daní přesunuta v rámci RUD na USC). Návrh prošel hlasy poslanců za </w:t>
      </w:r>
      <w:r w:rsidR="00835F2F">
        <w:rPr>
          <w:rFonts w:ascii="Times New Roman" w:hAnsi="Times New Roman"/>
          <w:sz w:val="24"/>
          <w:szCs w:val="24"/>
        </w:rPr>
        <w:t>ANO, ČSSD ale i KSČM</w:t>
      </w:r>
      <w:r w:rsidRPr="004B2E01">
        <w:rPr>
          <w:rFonts w:ascii="Times New Roman" w:hAnsi="Times New Roman"/>
          <w:sz w:val="24"/>
          <w:szCs w:val="24"/>
        </w:rPr>
        <w:t>. To znamená že se návrh nevrací vládě k přepracování. Případné změny ve struktuře rozpočtu  v rámci základních čísel pak už jsou jenom dílčí přesuny mezi položkami.</w:t>
      </w:r>
      <w:r w:rsidR="00835F2F">
        <w:rPr>
          <w:rFonts w:ascii="Times New Roman" w:hAnsi="Times New Roman"/>
          <w:sz w:val="24"/>
          <w:szCs w:val="24"/>
        </w:rPr>
        <w:t xml:space="preserve"> Rozsah a konretizace je věcí naledujících debat, rozpočet podobnými zásahy ještě zlepšit jde. </w:t>
      </w:r>
    </w:p>
    <w:p w:rsidR="00FF162F" w:rsidRPr="004B2E01" w:rsidRDefault="00FF162F" w:rsidP="00FF162F">
      <w:pPr>
        <w:pStyle w:val="Zkladntext"/>
        <w:jc w:val="both"/>
        <w:rPr>
          <w:rFonts w:ascii="Times New Roman" w:hAnsi="Times New Roman"/>
          <w:sz w:val="24"/>
          <w:szCs w:val="24"/>
        </w:rPr>
      </w:pPr>
    </w:p>
    <w:p w:rsidR="00FF162F" w:rsidRPr="004B2E01" w:rsidRDefault="00FF162F" w:rsidP="00FF162F">
      <w:pPr>
        <w:pStyle w:val="Nadpis2"/>
        <w:keepNext/>
        <w:numPr>
          <w:ilvl w:val="1"/>
          <w:numId w:val="41"/>
        </w:numPr>
        <w:pBdr>
          <w:top w:val="single" w:sz="4" w:space="1" w:color="000000"/>
          <w:left w:val="single" w:sz="4" w:space="4" w:color="000000"/>
          <w:right w:val="single" w:sz="4" w:space="4" w:color="000000"/>
        </w:pBdr>
        <w:tabs>
          <w:tab w:val="clear" w:pos="1500"/>
          <w:tab w:val="num" w:pos="0"/>
        </w:tabs>
        <w:suppressAutoHyphens/>
        <w:spacing w:before="0" w:after="0"/>
        <w:ind w:left="576" w:hanging="576"/>
        <w:jc w:val="both"/>
        <w:rPr>
          <w:rFonts w:ascii="Times New Roman" w:hAnsi="Times New Roman" w:cs="Times New Roman"/>
          <w:b/>
          <w:sz w:val="24"/>
          <w:szCs w:val="24"/>
        </w:rPr>
      </w:pPr>
      <w:r w:rsidRPr="004B2E01">
        <w:rPr>
          <w:rFonts w:ascii="Times New Roman" w:hAnsi="Times New Roman" w:cs="Times New Roman"/>
          <w:sz w:val="24"/>
          <w:szCs w:val="24"/>
        </w:rPr>
        <w:t>Ukazatel  v mld. Kč             Schválený SR          Schválený SR        Schválený SR          Schválený SR            Návrh SR</w:t>
      </w:r>
    </w:p>
    <w:p w:rsidR="00FF162F" w:rsidRPr="004B2E01" w:rsidRDefault="00FF162F" w:rsidP="00FF162F">
      <w:pPr>
        <w:pStyle w:val="Vfdchozedstyl"/>
        <w:pBdr>
          <w:top w:val="single" w:sz="4" w:space="1" w:color="000000"/>
          <w:left w:val="single" w:sz="4" w:space="4" w:color="000000"/>
          <w:right w:val="single" w:sz="4" w:space="4" w:color="000000"/>
        </w:pBdr>
        <w:rPr>
          <w:b/>
          <w:szCs w:val="24"/>
        </w:rPr>
      </w:pPr>
      <w:r w:rsidRPr="004B2E01">
        <w:rPr>
          <w:b/>
          <w:szCs w:val="24"/>
        </w:rPr>
        <w:t xml:space="preserve">                                             na rok 2015           na rok 2016           na rok 2017           na rok 2018          na rok 2019</w:t>
      </w:r>
    </w:p>
    <w:p w:rsidR="00FF162F" w:rsidRPr="004B2E01" w:rsidRDefault="00FF162F" w:rsidP="00FF162F">
      <w:pPr>
        <w:pStyle w:val="Vfdchozedstyl"/>
        <w:pBdr>
          <w:top w:val="single" w:sz="4" w:space="1" w:color="000000"/>
          <w:left w:val="single" w:sz="4" w:space="4" w:color="000000"/>
          <w:bottom w:val="single" w:sz="4" w:space="1" w:color="000000"/>
          <w:right w:val="single" w:sz="4" w:space="4" w:color="000000"/>
        </w:pBdr>
        <w:rPr>
          <w:b/>
          <w:szCs w:val="24"/>
        </w:rPr>
      </w:pPr>
      <w:r w:rsidRPr="004B2E01">
        <w:rPr>
          <w:b/>
          <w:szCs w:val="24"/>
        </w:rPr>
        <w:t>Celkové příjmy SR:               1118,5                   1180,9                     1249,3                     1314,5                    1465,3</w:t>
      </w:r>
    </w:p>
    <w:p w:rsidR="00FF162F" w:rsidRPr="004B2E01" w:rsidRDefault="00FF162F" w:rsidP="00FF162F">
      <w:pPr>
        <w:pStyle w:val="Vfdchozedstyl"/>
        <w:pBdr>
          <w:top w:val="single" w:sz="4" w:space="1" w:color="000000"/>
          <w:left w:val="single" w:sz="4" w:space="4" w:color="000000"/>
          <w:bottom w:val="single" w:sz="4" w:space="1" w:color="000000"/>
          <w:right w:val="single" w:sz="4" w:space="4" w:color="000000"/>
        </w:pBdr>
        <w:rPr>
          <w:b/>
          <w:szCs w:val="24"/>
        </w:rPr>
      </w:pPr>
      <w:r w:rsidRPr="004B2E01">
        <w:rPr>
          <w:b/>
          <w:szCs w:val="24"/>
        </w:rPr>
        <w:t>Celkové výdaje SR:               1218,5                   1250,9                     1309,3                     1364,5                    1505,3</w:t>
      </w:r>
    </w:p>
    <w:p w:rsidR="00FF162F" w:rsidRPr="004B2E01" w:rsidRDefault="00FF162F" w:rsidP="00FF162F">
      <w:pPr>
        <w:pStyle w:val="Vfdchozedstyl"/>
        <w:pBdr>
          <w:top w:val="single" w:sz="4" w:space="1" w:color="000000"/>
          <w:left w:val="single" w:sz="4" w:space="4" w:color="000000"/>
          <w:bottom w:val="single" w:sz="4" w:space="1" w:color="000000"/>
          <w:right w:val="single" w:sz="4" w:space="4" w:color="000000"/>
        </w:pBdr>
        <w:rPr>
          <w:b/>
          <w:szCs w:val="24"/>
          <w:u w:val="single"/>
        </w:rPr>
      </w:pPr>
      <w:r w:rsidRPr="004B2E01">
        <w:rPr>
          <w:b/>
          <w:szCs w:val="24"/>
        </w:rPr>
        <w:t>Saldo SR celkem:                   -100,0                     -70,0                       -60,0                        -50,0                        -40,0</w:t>
      </w:r>
    </w:p>
    <w:p w:rsidR="00FF162F" w:rsidRPr="004B2E01" w:rsidRDefault="00FF162F" w:rsidP="00FF162F">
      <w:pPr>
        <w:pStyle w:val="Zkladntext"/>
        <w:jc w:val="both"/>
        <w:rPr>
          <w:rFonts w:ascii="Times New Roman" w:hAnsi="Times New Roman"/>
          <w:sz w:val="24"/>
          <w:szCs w:val="24"/>
        </w:rPr>
      </w:pP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b/>
          <w:sz w:val="24"/>
          <w:szCs w:val="24"/>
          <w:u w:val="single"/>
        </w:rPr>
        <w:t>MF označila plán na mírné snížení deficitu jako maximum možného</w:t>
      </w:r>
      <w:r w:rsidRPr="004B2E01">
        <w:rPr>
          <w:rFonts w:ascii="Times New Roman" w:hAnsi="Times New Roman"/>
          <w:sz w:val="24"/>
          <w:szCs w:val="24"/>
        </w:rPr>
        <w:t xml:space="preserve"> – pravicová opozice takový deficit ve fázi růstu kritizuje jako rezignaci na fiskální odpovědnost.  Vadí jim hlavně výše mandatorních výdajů, které zůstanou i ve fázi poklesu ekonomiky. </w:t>
      </w:r>
      <w:r w:rsidRPr="004B2E01">
        <w:rPr>
          <w:rFonts w:ascii="Times New Roman" w:hAnsi="Times New Roman"/>
          <w:b/>
          <w:sz w:val="24"/>
          <w:szCs w:val="24"/>
          <w:u w:val="single"/>
        </w:rPr>
        <w:t>Národní rozpočtová rada by ráda aby trend deficitů byl plánován jako sestupný.</w:t>
      </w:r>
      <w:r w:rsidRPr="004B2E01">
        <w:rPr>
          <w:rFonts w:ascii="Times New Roman" w:hAnsi="Times New Roman"/>
          <w:sz w:val="24"/>
          <w:szCs w:val="24"/>
        </w:rPr>
        <w:t xml:space="preserve"> Opakovaně byl ale v posledních letech dosažen lepší výsledek než plán. V roce 2015 z plánovaného deficitu 100 mld bylo jen -62,8 mld, v roce 2016 oproti deficitu 70 mld bylo dokonce kladné saldo 61,8 mld a loni oproti plánu na deficit 60 mld byl deficit pouhých -6,2 mld. </w:t>
      </w:r>
      <w:r w:rsidR="00835F2F">
        <w:rPr>
          <w:rFonts w:ascii="Times New Roman" w:hAnsi="Times New Roman"/>
          <w:sz w:val="24"/>
          <w:szCs w:val="24"/>
        </w:rPr>
        <w:t>Leto se očekává oproti plánovanému deficitu 50 mld Kč, nula. Pravice se domnívá, že je doba raznějších škrtů – chtějí deficit 40 mld zrušit a ještě navžšit investiční výdaje vlády o 18 mld korun.</w:t>
      </w:r>
    </w:p>
    <w:p w:rsidR="00FF162F" w:rsidRPr="004B2E01" w:rsidRDefault="00FF162F" w:rsidP="00FF162F">
      <w:pPr>
        <w:pStyle w:val="Zkladntext"/>
        <w:jc w:val="both"/>
        <w:rPr>
          <w:rFonts w:ascii="Times New Roman" w:hAnsi="Times New Roman"/>
          <w:b/>
          <w:sz w:val="24"/>
          <w:szCs w:val="24"/>
          <w:u w:val="single"/>
        </w:rPr>
      </w:pPr>
      <w:r w:rsidRPr="004B2E01">
        <w:rPr>
          <w:rFonts w:ascii="Times New Roman" w:hAnsi="Times New Roman"/>
          <w:sz w:val="24"/>
          <w:szCs w:val="24"/>
        </w:rPr>
        <w:lastRenderedPageBreak/>
        <w:t xml:space="preserve">       Pro nás deficit v době růstu není také optimální (vyrovnaný rozpočet ve střednědobém výhledu, v letech 2020 a 2021 nebude dosažen), ale je akceptovatelný i z pohledu vývoje strukturálního salda – skokové vyrovnání rozpočtu masivními škrty by politicky nebylo přijatelné. Investovat část dluhu přitom fiskální smysl má (multiplikuje růst, předpokládá ovšem připravenost projektů, jinak není splněn plán jako v roce 2017). Větší vládní investice se vrací k vyšším hodnotám, (přinese to ovšem oživení cen stavebních prací). Přitom nadměrné čerpání evropských zdrojů jako v roce 2015 se už nebude opakovat. Růst hrubého fixního kapitálu je ovšem tažen především soukromými investicemi (investice do zřízení stimuluje i situace na trhu práce).</w:t>
      </w:r>
    </w:p>
    <w:p w:rsidR="00FF162F" w:rsidRPr="004B2E01" w:rsidRDefault="00FF162F" w:rsidP="00FF162F">
      <w:pPr>
        <w:pStyle w:val="Vfdchozedstyl"/>
        <w:jc w:val="both"/>
        <w:rPr>
          <w:szCs w:val="24"/>
        </w:rPr>
      </w:pPr>
      <w:r w:rsidRPr="004B2E01">
        <w:rPr>
          <w:szCs w:val="24"/>
        </w:rPr>
        <w:t xml:space="preserve">      Státní dluh po nominálním poklesu v roce 2016 (na 1,61 bilionu korun, spíše účetní záležitost) roste odhadem na 1,68 bilionu korun, ale roste pomaleji, tudíž</w:t>
      </w:r>
      <w:r w:rsidRPr="004B2E01">
        <w:rPr>
          <w:b/>
          <w:szCs w:val="24"/>
        </w:rPr>
        <w:t xml:space="preserve"> dochází k dalšímu poklesu podílu dluhu na HDP  </w:t>
      </w:r>
      <w:r w:rsidRPr="004B2E01">
        <w:rPr>
          <w:szCs w:val="24"/>
        </w:rPr>
        <w:t>- v roce 2013 činil 41,1%, nyní klesá dokonce až na 30,2% což nás řadí mezi nejméně zadlužené země. Tzv. dluhová brzda se aktivuje u podílu 55%, maastrichtské kritérium 60% je většinou zemí EU překračováno (Řecko a Itálie překračují dokonce výrazně 100%).  86% státního dluhu ČR je tvořen vnitřním dluhem, objem zahraničního dluhu klesá.</w:t>
      </w:r>
    </w:p>
    <w:p w:rsidR="00FF162F" w:rsidRPr="004B2E01" w:rsidRDefault="00FF162F" w:rsidP="00FF162F">
      <w:pPr>
        <w:pStyle w:val="Vfdchozedstyl"/>
        <w:jc w:val="both"/>
        <w:rPr>
          <w:szCs w:val="24"/>
        </w:rPr>
      </w:pPr>
    </w:p>
    <w:p w:rsidR="00FF162F" w:rsidRPr="004B2E01" w:rsidRDefault="00FF162F" w:rsidP="00FF162F">
      <w:pPr>
        <w:pStyle w:val="Vfdchozedstyl"/>
        <w:pBdr>
          <w:top w:val="single" w:sz="4" w:space="1" w:color="auto"/>
          <w:left w:val="single" w:sz="4" w:space="4" w:color="auto"/>
          <w:bottom w:val="single" w:sz="4" w:space="1" w:color="auto"/>
          <w:right w:val="single" w:sz="4" w:space="4" w:color="auto"/>
        </w:pBdr>
        <w:jc w:val="both"/>
        <w:rPr>
          <w:szCs w:val="24"/>
        </w:rPr>
      </w:pPr>
      <w:r w:rsidRPr="004B2E01">
        <w:rPr>
          <w:szCs w:val="24"/>
        </w:rPr>
        <w:t>Rok                                                2013        2014        2015        2016        2017        2018        2019</w:t>
      </w:r>
    </w:p>
    <w:p w:rsidR="00FF162F" w:rsidRPr="004B2E01" w:rsidRDefault="00FF162F" w:rsidP="00FF162F">
      <w:pPr>
        <w:pStyle w:val="Vfdchozedstyl"/>
        <w:pBdr>
          <w:top w:val="single" w:sz="4" w:space="1" w:color="auto"/>
          <w:left w:val="single" w:sz="4" w:space="4" w:color="auto"/>
          <w:bottom w:val="single" w:sz="4" w:space="1" w:color="auto"/>
          <w:right w:val="single" w:sz="4" w:space="4" w:color="auto"/>
        </w:pBdr>
        <w:jc w:val="both"/>
        <w:rPr>
          <w:szCs w:val="24"/>
        </w:rPr>
      </w:pPr>
      <w:r w:rsidRPr="004B2E01">
        <w:rPr>
          <w:szCs w:val="24"/>
        </w:rPr>
        <w:t>Podíl státního dluhu na HDP        41,1%      38,6%      36,4%     33,8%      32,2%      31,0%     30,2%</w:t>
      </w:r>
    </w:p>
    <w:p w:rsidR="00FF162F" w:rsidRPr="004B2E01" w:rsidRDefault="00FF162F" w:rsidP="00FF162F">
      <w:pPr>
        <w:pStyle w:val="Ze1kladnedtext2"/>
        <w:rPr>
          <w:b/>
          <w:szCs w:val="24"/>
          <w:u w:val="single"/>
        </w:rPr>
      </w:pPr>
    </w:p>
    <w:p w:rsidR="00FF162F" w:rsidRPr="004B2E01" w:rsidRDefault="00FF162F" w:rsidP="00FF162F">
      <w:pPr>
        <w:pStyle w:val="Ze1kladnedtext2"/>
        <w:rPr>
          <w:szCs w:val="24"/>
        </w:rPr>
      </w:pPr>
      <w:r w:rsidRPr="004B2E01">
        <w:rPr>
          <w:b/>
          <w:szCs w:val="24"/>
          <w:u w:val="single"/>
        </w:rPr>
        <w:t>Předpověď ekonomického vývoje</w:t>
      </w:r>
      <w:r w:rsidRPr="004B2E01">
        <w:rPr>
          <w:szCs w:val="24"/>
        </w:rPr>
        <w:t xml:space="preserve"> :</w:t>
      </w:r>
    </w:p>
    <w:p w:rsidR="00FF162F" w:rsidRPr="004B2E01" w:rsidRDefault="00FF162F" w:rsidP="00FF162F">
      <w:pPr>
        <w:pStyle w:val="Ze1kladnedtext2"/>
        <w:rPr>
          <w:szCs w:val="24"/>
        </w:rPr>
      </w:pPr>
      <w:r w:rsidRPr="004B2E01">
        <w:rPr>
          <w:szCs w:val="24"/>
        </w:rPr>
        <w:t xml:space="preserve">     Pokud jde o vnější okolí, tak  </w:t>
      </w:r>
      <w:r w:rsidRPr="004B2E01">
        <w:rPr>
          <w:b/>
          <w:szCs w:val="24"/>
        </w:rPr>
        <w:t>globální ekonomika</w:t>
      </w:r>
      <w:r w:rsidRPr="004B2E01">
        <w:rPr>
          <w:szCs w:val="24"/>
        </w:rPr>
        <w:t xml:space="preserve"> udržuje nadále tempo nad 3% HDP, které je brzděno zpomalením dynamiky BRICS. Z recese se jen pomalu dostává Rusko, v Brazílii letos ještě recese přežívala. Nadále mírně zpomaluje ČLR (v příštím roce +6,4%), kterou v dynamice předbíhá Indie (+7,3%). Pokračující oživení se v příští</w:t>
      </w:r>
      <w:r w:rsidR="008F32F7">
        <w:rPr>
          <w:szCs w:val="24"/>
        </w:rPr>
        <w:t xml:space="preserve">m roce očekává i v USA (+2,4%). </w:t>
      </w:r>
      <w:r w:rsidRPr="004B2E01">
        <w:rPr>
          <w:b/>
          <w:szCs w:val="24"/>
        </w:rPr>
        <w:t>Oživení v Evropě</w:t>
      </w:r>
      <w:r w:rsidRPr="004B2E01">
        <w:rPr>
          <w:szCs w:val="24"/>
        </w:rPr>
        <w:t xml:space="preserve"> stále je velmi mírné – na příští rok je odhad +2,1%, otázkou je vliv jednání o brexitu na britskou ekonomiku (k exitu má dojít již v březnu 2019). Pro silně exportní charakter ČR je rizikem obchodní válka a nárůst protekcionismu mezi USA a EU popř. ČLR. </w:t>
      </w:r>
    </w:p>
    <w:p w:rsidR="00FF162F" w:rsidRPr="004B2E01" w:rsidRDefault="00FF162F" w:rsidP="00FF162F">
      <w:pPr>
        <w:pStyle w:val="Ze1kladnedtext2"/>
        <w:rPr>
          <w:szCs w:val="24"/>
        </w:rPr>
      </w:pPr>
      <w:r w:rsidRPr="004B2E01">
        <w:rPr>
          <w:szCs w:val="24"/>
        </w:rPr>
        <w:t xml:space="preserve">      Pokud jde o ekonomický vývoj v ČR tak po krizových letech nastalo koncem roku 2013 ekonomické oživení, které trvá dodnes ale růst již zpomaluje . Významnější zrychlení oproti původní predikci MF ČR nastalo v roce 2015 (z +2,5% až na 5,3%). Po zpomalení v roce 2016 (2,5% HDP) došlo v roce 2017 oproti predikci opět k neplánovanému zrychlení (z 2,4% na 4,3% HDP). Odhady na letošní rok jsou mírně optimistické a hovoří o 3%, ale mohou </w:t>
      </w:r>
      <w:r w:rsidR="00835F2F">
        <w:rPr>
          <w:szCs w:val="24"/>
        </w:rPr>
        <w:t xml:space="preserve">brzy </w:t>
      </w:r>
      <w:r w:rsidRPr="004B2E01">
        <w:rPr>
          <w:szCs w:val="24"/>
        </w:rPr>
        <w:t xml:space="preserve">klesnout pod potenciál ekonomiky. </w:t>
      </w:r>
      <w:r w:rsidR="00835F2F">
        <w:rPr>
          <w:szCs w:val="24"/>
        </w:rPr>
        <w:t xml:space="preserve">Pravicová pozice kritizuje vládu za endosatečné fiskální ůsilí, vláda ovšem dokazuje že to odpovídá stanoveným postupům, A pael na kšrtání je prostě poltický a nikoliv primárně ekonomický požadavek </w:t>
      </w:r>
      <w:r w:rsidRPr="004B2E01">
        <w:rPr>
          <w:szCs w:val="24"/>
        </w:rPr>
        <w:t xml:space="preserve"> </w:t>
      </w:r>
    </w:p>
    <w:p w:rsidR="00FF162F" w:rsidRDefault="00FF162F" w:rsidP="00FF162F">
      <w:pPr>
        <w:pStyle w:val="Vfdchozedstyl"/>
        <w:jc w:val="both"/>
        <w:rPr>
          <w:szCs w:val="24"/>
        </w:rPr>
      </w:pPr>
      <w:r w:rsidRPr="004B2E01">
        <w:rPr>
          <w:szCs w:val="24"/>
        </w:rPr>
        <w:t xml:space="preserve">       Přehřívání ekonomiky se nejvíc projevuje na trhu práce. Dalším limitem je vnější prostředí, kde se zmenšuje přebytek platební bilance a příspěvek zahraničního obchodu k reálnému růstu HDP. V mixu hospodářské politiky jde o fiskální úsilí, které by nepůsobilo procyklicky – od letošního roku je tu nový zákon o rozpočtové odpovědnosti.   Rozpočtová politika je nyní mírně prorůstová a strukturální saldo je od roku 2016 kladné (saldo očištěné o cyklické vlivy a diskreční opatření). Při vzestupu konjunktury pravicová opozice  kritizovala za nedostatečné škrty. Střednědobý rozpočtový cíl daný konvergenčním programem -1% na HDP v zájmu dlouhodobější udržitelnosti financování celého vládního sektoru je ale dodržován.</w:t>
      </w:r>
    </w:p>
    <w:p w:rsidR="00835F2F" w:rsidRDefault="00835F2F" w:rsidP="00FF162F">
      <w:pPr>
        <w:pStyle w:val="Vfdchozedstyl"/>
        <w:jc w:val="both"/>
        <w:rPr>
          <w:szCs w:val="24"/>
        </w:rPr>
      </w:pPr>
    </w:p>
    <w:p w:rsidR="00835F2F" w:rsidRPr="004B2E01" w:rsidRDefault="00835F2F" w:rsidP="00FF162F">
      <w:pPr>
        <w:pStyle w:val="Vfdchozedstyl"/>
        <w:jc w:val="both"/>
        <w:rPr>
          <w:szCs w:val="24"/>
        </w:rPr>
      </w:pPr>
    </w:p>
    <w:p w:rsidR="00FF162F" w:rsidRPr="004B2E01" w:rsidRDefault="00FF162F" w:rsidP="00FF162F">
      <w:pPr>
        <w:pStyle w:val="Vfdchozedstyl"/>
        <w:jc w:val="center"/>
        <w:rPr>
          <w:b/>
          <w:i/>
          <w:szCs w:val="24"/>
        </w:rPr>
      </w:pPr>
      <w:r w:rsidRPr="004B2E01">
        <w:rPr>
          <w:b/>
          <w:i/>
          <w:szCs w:val="24"/>
        </w:rPr>
        <w:t>Strukturální saldo ve vládním sektoru :</w:t>
      </w:r>
    </w:p>
    <w:p w:rsidR="00FF162F" w:rsidRPr="004B2E01" w:rsidRDefault="00FF162F" w:rsidP="00FF162F">
      <w:pPr>
        <w:pStyle w:val="Vfdchozedstyl"/>
        <w:pBdr>
          <w:top w:val="single" w:sz="4" w:space="1" w:color="auto"/>
          <w:left w:val="single" w:sz="4" w:space="4" w:color="auto"/>
          <w:bottom w:val="single" w:sz="4" w:space="1" w:color="auto"/>
          <w:right w:val="single" w:sz="4" w:space="4" w:color="auto"/>
        </w:pBdr>
        <w:jc w:val="both"/>
        <w:rPr>
          <w:b/>
          <w:szCs w:val="24"/>
          <w:u w:val="single"/>
        </w:rPr>
      </w:pPr>
      <w:r w:rsidRPr="004B2E01">
        <w:rPr>
          <w:b/>
          <w:szCs w:val="24"/>
        </w:rPr>
        <w:lastRenderedPageBreak/>
        <w:t xml:space="preserve">                                           </w:t>
      </w:r>
      <w:r w:rsidRPr="004B2E01">
        <w:rPr>
          <w:b/>
          <w:szCs w:val="24"/>
          <w:u w:val="single"/>
        </w:rPr>
        <w:t>2010    2011    2012    2013    2014    2015    2016    2017    2018    2019</w:t>
      </w:r>
    </w:p>
    <w:p w:rsidR="00FF162F" w:rsidRPr="004B2E01" w:rsidRDefault="00FF162F" w:rsidP="00FF162F">
      <w:pPr>
        <w:pStyle w:val="Vfdchozedstyl"/>
        <w:pBdr>
          <w:top w:val="single" w:sz="4" w:space="1" w:color="auto"/>
          <w:left w:val="single" w:sz="4" w:space="4" w:color="auto"/>
          <w:bottom w:val="single" w:sz="4" w:space="1" w:color="auto"/>
          <w:right w:val="single" w:sz="4" w:space="4" w:color="auto"/>
        </w:pBdr>
        <w:jc w:val="both"/>
        <w:rPr>
          <w:b/>
          <w:szCs w:val="24"/>
        </w:rPr>
      </w:pPr>
      <w:r w:rsidRPr="004B2E01">
        <w:rPr>
          <w:b/>
          <w:szCs w:val="24"/>
        </w:rPr>
        <w:t>Strukturální saldo v %    -3,7      -2,3     -1,1       0,3      -0,8      -0,6      0,9       1,1       1,0       0,3</w:t>
      </w:r>
    </w:p>
    <w:p w:rsidR="00FF162F" w:rsidRPr="004B2E01" w:rsidRDefault="00FF162F" w:rsidP="00FF162F">
      <w:pPr>
        <w:pStyle w:val="Vfdchozedstyl"/>
        <w:jc w:val="both"/>
        <w:rPr>
          <w:szCs w:val="24"/>
        </w:rPr>
      </w:pP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 xml:space="preserve">     Oproti fiskální expanzi působí „normalizace“ měnové politiky spojené s tvrdší korunou a růstem úrokových sazeb nad úroveň ECB). Ta prorůstový efekt nemá, plní spíše úkoly inflačního cíle. Na rok 2019 se předpokládá i přes vládní výdaje zpomalení celkové investiční aktivity.</w:t>
      </w: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 xml:space="preserve">    Pro hodnocení rozpočtové politiky v první čtení je důležité i </w:t>
      </w:r>
      <w:r w:rsidRPr="004B2E01">
        <w:rPr>
          <w:rFonts w:ascii="Times New Roman" w:hAnsi="Times New Roman"/>
          <w:b/>
          <w:sz w:val="24"/>
          <w:szCs w:val="24"/>
        </w:rPr>
        <w:t>schválení vztahů k rozpočtu EU</w:t>
      </w:r>
      <w:r w:rsidRPr="004B2E01">
        <w:rPr>
          <w:rFonts w:ascii="Times New Roman" w:hAnsi="Times New Roman"/>
          <w:sz w:val="24"/>
          <w:szCs w:val="24"/>
        </w:rPr>
        <w:t xml:space="preserve">.  Očekávané příjmy z EU mají v roce 2019 činit 92 mld, odvody do EU mají činit 43 mld. Dále se schvaluje </w:t>
      </w:r>
      <w:r w:rsidRPr="004B2E01">
        <w:rPr>
          <w:rFonts w:ascii="Times New Roman" w:hAnsi="Times New Roman"/>
          <w:b/>
          <w:sz w:val="24"/>
          <w:szCs w:val="24"/>
        </w:rPr>
        <w:t>příspěvek na výkon státní správy</w:t>
      </w:r>
      <w:r w:rsidRPr="004B2E01">
        <w:rPr>
          <w:rFonts w:ascii="Times New Roman" w:hAnsi="Times New Roman"/>
          <w:sz w:val="24"/>
          <w:szCs w:val="24"/>
        </w:rPr>
        <w:t xml:space="preserve"> v krajích, městech a obcích (samostatně hl. m. Praze).</w:t>
      </w:r>
    </w:p>
    <w:p w:rsidR="00FF162F" w:rsidRPr="004B2E01" w:rsidRDefault="00FF162F" w:rsidP="00FF162F">
      <w:pPr>
        <w:pStyle w:val="Zkladntext"/>
        <w:jc w:val="both"/>
        <w:rPr>
          <w:rFonts w:ascii="Times New Roman" w:hAnsi="Times New Roman"/>
          <w:sz w:val="24"/>
          <w:szCs w:val="24"/>
        </w:rPr>
      </w:pPr>
      <w:r w:rsidRPr="004B2E01">
        <w:rPr>
          <w:rFonts w:ascii="Times New Roman" w:hAnsi="Times New Roman"/>
          <w:sz w:val="24"/>
          <w:szCs w:val="24"/>
        </w:rPr>
        <w:t xml:space="preserve">    </w:t>
      </w:r>
      <w:r w:rsidRPr="004B2E01">
        <w:rPr>
          <w:rFonts w:ascii="Times New Roman" w:hAnsi="Times New Roman"/>
          <w:b/>
          <w:sz w:val="24"/>
          <w:szCs w:val="24"/>
        </w:rPr>
        <w:t xml:space="preserve">Prognóza příjmů </w:t>
      </w:r>
      <w:r w:rsidR="001246FA">
        <w:rPr>
          <w:rFonts w:ascii="Times New Roman" w:hAnsi="Times New Roman"/>
          <w:b/>
          <w:sz w:val="24"/>
          <w:szCs w:val="24"/>
        </w:rPr>
        <w:t>z</w:t>
      </w:r>
      <w:r w:rsidRPr="004B2E01">
        <w:rPr>
          <w:rFonts w:ascii="Times New Roman" w:hAnsi="Times New Roman"/>
          <w:sz w:val="24"/>
          <w:szCs w:val="24"/>
        </w:rPr>
        <w:t>namená jejich meziroční nominální růst oproti loňskému plánu o 11,5%.  Z toho daňové příjmy celkem mají růst oproti letošnímu plánu o 6,5% (absolutní rozdíl 47 mld, především  díky růstu  a při mírném růstu cen a zejm.  zvýšení platů). Na příjmové straně ale absentuje shoda na vizi budoucí daňové politiky – KSČM podporuje větší míru progrese (české daně z příjmů jsou v měřítku EU podprůměrné).</w:t>
      </w:r>
      <w:r w:rsidR="001246FA">
        <w:rPr>
          <w:rFonts w:ascii="Times New Roman" w:hAnsi="Times New Roman"/>
          <w:sz w:val="24"/>
          <w:szCs w:val="24"/>
        </w:rPr>
        <w:t xml:space="preserve"> Problém bude spáíš struktura výdajů.</w:t>
      </w:r>
    </w:p>
    <w:p w:rsidR="008F32F7" w:rsidRDefault="008F32F7" w:rsidP="00FF162F">
      <w:pPr>
        <w:pStyle w:val="Vfdchozedstyl"/>
        <w:rPr>
          <w:b/>
          <w:szCs w:val="24"/>
          <w:u w:val="single"/>
        </w:rPr>
      </w:pPr>
    </w:p>
    <w:p w:rsidR="00FF162F" w:rsidRPr="004B2E01" w:rsidRDefault="00FF162F" w:rsidP="00FF162F">
      <w:pPr>
        <w:pStyle w:val="Vfdchozedstyl"/>
        <w:rPr>
          <w:b/>
          <w:szCs w:val="24"/>
        </w:rPr>
      </w:pPr>
      <w:r w:rsidRPr="004B2E01">
        <w:rPr>
          <w:b/>
          <w:szCs w:val="24"/>
          <w:u w:val="single"/>
        </w:rPr>
        <w:t>ZÁVĚR :</w:t>
      </w:r>
    </w:p>
    <w:p w:rsidR="00FF162F" w:rsidRPr="004B2E01" w:rsidRDefault="00FF162F" w:rsidP="00FF162F">
      <w:pPr>
        <w:pStyle w:val="Default"/>
        <w:rPr>
          <w:b/>
        </w:rPr>
      </w:pPr>
    </w:p>
    <w:p w:rsidR="008F32F7" w:rsidRDefault="00FF162F" w:rsidP="008F32F7">
      <w:pPr>
        <w:pStyle w:val="Default"/>
        <w:jc w:val="both"/>
        <w:rPr>
          <w:b/>
        </w:rPr>
      </w:pPr>
      <w:r w:rsidRPr="004B2E01">
        <w:rPr>
          <w:b/>
        </w:rPr>
        <w:t xml:space="preserve">       Jde o návrh, který má finanční vztah k prioritám vlády zahrnují vybrané priority KSČM.   Platí přitom současně že  návrh odráží neřešení </w:t>
      </w:r>
      <w:r w:rsidR="001246FA">
        <w:rPr>
          <w:b/>
        </w:rPr>
        <w:t xml:space="preserve"> </w:t>
      </w:r>
      <w:r w:rsidRPr="004B2E01">
        <w:rPr>
          <w:b/>
        </w:rPr>
        <w:t>strukturálních problémů, nedoprojednání vládního daňového balíčku, zdanění církevních restitucí  a ani neakceptuje daňové priority</w:t>
      </w:r>
      <w:r w:rsidR="008F32F7">
        <w:rPr>
          <w:b/>
        </w:rPr>
        <w:t>.</w:t>
      </w:r>
      <w:r w:rsidR="00835F2F">
        <w:rPr>
          <w:b/>
        </w:rPr>
        <w:t xml:space="preserve"> Skokové škrty v řádu 40 + 18 mld </w:t>
      </w:r>
      <w:r w:rsidR="001246FA">
        <w:rPr>
          <w:b/>
        </w:rPr>
        <w:t xml:space="preserve">by byly  </w:t>
      </w:r>
      <w:r w:rsidR="00835F2F">
        <w:rPr>
          <w:b/>
        </w:rPr>
        <w:t xml:space="preserve"> obtížně zvládnutelné  </w:t>
      </w:r>
    </w:p>
    <w:p w:rsidR="001246FA" w:rsidRDefault="001246FA" w:rsidP="008F32F7">
      <w:pPr>
        <w:pStyle w:val="Default"/>
        <w:jc w:val="both"/>
        <w:rPr>
          <w:b/>
          <w:bCs/>
        </w:rPr>
      </w:pPr>
    </w:p>
    <w:p w:rsidR="008F32F7" w:rsidRPr="004B2E01" w:rsidRDefault="00835F2F" w:rsidP="008F32F7">
      <w:pPr>
        <w:pStyle w:val="Default"/>
        <w:jc w:val="both"/>
      </w:pPr>
      <w:r>
        <w:rPr>
          <w:b/>
          <w:bCs/>
        </w:rPr>
        <w:t xml:space="preserve">   </w:t>
      </w:r>
      <w:r w:rsidR="008F32F7" w:rsidRPr="004B2E01">
        <w:rPr>
          <w:b/>
          <w:bCs/>
        </w:rPr>
        <w:t>ČMKOS návrh státního rozpočtu pro rok 2019 v prosazování těchto prior</w:t>
      </w:r>
      <w:r w:rsidR="001246FA">
        <w:rPr>
          <w:b/>
          <w:bCs/>
        </w:rPr>
        <w:t xml:space="preserve"> </w:t>
      </w:r>
      <w:r w:rsidR="008F32F7" w:rsidRPr="004B2E01">
        <w:rPr>
          <w:b/>
          <w:bCs/>
        </w:rPr>
        <w:t>it podporuje.</w:t>
      </w:r>
      <w:r>
        <w:rPr>
          <w:b/>
          <w:bCs/>
        </w:rPr>
        <w:t xml:space="preserve"> Pokud mají být z rozpočtu vyvedeny rezervy na reformy, mělo by být jasné na jaké. To je věcí debat na období 2020-2021. </w:t>
      </w:r>
      <w:r w:rsidR="001246FA">
        <w:rPr>
          <w:b/>
          <w:bCs/>
        </w:rPr>
        <w:t>U</w:t>
      </w:r>
      <w:r>
        <w:rPr>
          <w:b/>
          <w:bCs/>
        </w:rPr>
        <w:t>držiteln</w:t>
      </w:r>
      <w:r w:rsidR="001246FA">
        <w:rPr>
          <w:b/>
          <w:bCs/>
        </w:rPr>
        <w:t>o</w:t>
      </w:r>
      <w:r>
        <w:rPr>
          <w:b/>
          <w:bCs/>
        </w:rPr>
        <w:t>st penzij</w:t>
      </w:r>
      <w:r w:rsidR="001246FA">
        <w:rPr>
          <w:b/>
          <w:bCs/>
        </w:rPr>
        <w:t>níh</w:t>
      </w:r>
      <w:r>
        <w:rPr>
          <w:b/>
          <w:bCs/>
        </w:rPr>
        <w:t>o s</w:t>
      </w:r>
      <w:r w:rsidR="001246FA">
        <w:rPr>
          <w:b/>
          <w:bCs/>
        </w:rPr>
        <w:t>y</w:t>
      </w:r>
      <w:r>
        <w:rPr>
          <w:b/>
          <w:bCs/>
        </w:rPr>
        <w:t>stému je a</w:t>
      </w:r>
      <w:r w:rsidR="001246FA">
        <w:rPr>
          <w:b/>
          <w:bCs/>
        </w:rPr>
        <w:t>l</w:t>
      </w:r>
      <w:r>
        <w:rPr>
          <w:b/>
          <w:bCs/>
        </w:rPr>
        <w:t>e nyní aspoň do roku 2030.</w:t>
      </w:r>
    </w:p>
    <w:p w:rsidR="008F32F7" w:rsidRDefault="008F32F7" w:rsidP="008F32F7">
      <w:pPr>
        <w:pStyle w:val="Default"/>
        <w:rPr>
          <w:b/>
        </w:rPr>
      </w:pPr>
    </w:p>
    <w:sectPr w:rsidR="008F32F7" w:rsidSect="000C6531">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99" w:rsidRDefault="00585499">
      <w:r>
        <w:separator/>
      </w:r>
    </w:p>
  </w:endnote>
  <w:endnote w:type="continuationSeparator" w:id="0">
    <w:p w:rsidR="00585499" w:rsidRDefault="005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en Sans">
    <w:altName w:val="Arial"/>
    <w:charset w:val="EE"/>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Helvetica Neue', Helve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01" w:rsidRDefault="004B2E01">
    <w:pPr>
      <w:pStyle w:val="Zpat"/>
      <w:jc w:val="right"/>
    </w:pPr>
    <w:r>
      <w:fldChar w:fldCharType="begin"/>
    </w:r>
    <w:r>
      <w:instrText xml:space="preserve"> PAGE   \* MERGEFORMAT </w:instrText>
    </w:r>
    <w:r>
      <w:fldChar w:fldCharType="separate"/>
    </w:r>
    <w:r w:rsidR="00690157">
      <w:rPr>
        <w:noProof/>
      </w:rPr>
      <w:t>4</w:t>
    </w:r>
    <w:r>
      <w:rPr>
        <w:noProof/>
      </w:rPr>
      <w:fldChar w:fldCharType="end"/>
    </w:r>
  </w:p>
  <w:p w:rsidR="004B2E01" w:rsidRDefault="004B2E01" w:rsidP="007E26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99" w:rsidRDefault="00585499">
      <w:r>
        <w:separator/>
      </w:r>
    </w:p>
  </w:footnote>
  <w:footnote w:type="continuationSeparator" w:id="0">
    <w:p w:rsidR="00585499" w:rsidRDefault="00585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CC12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3"/>
    <w:multiLevelType w:val="multilevel"/>
    <w:tmpl w:val="00000003"/>
    <w:name w:val="WW8Num3"/>
    <w:lvl w:ilvl="0">
      <w:start w:val="20"/>
      <w:numFmt w:val="bullet"/>
      <w:lvlText w:val="-"/>
      <w:lvlJc w:val="left"/>
      <w:pPr>
        <w:tabs>
          <w:tab w:val="num" w:pos="0"/>
        </w:tabs>
        <w:ind w:left="360" w:hanging="360"/>
      </w:pPr>
      <w:rPr>
        <w:rFonts w:ascii="Times New Roman" w:hAnsi="Times New Roman"/>
        <w:b w:val="0"/>
        <w:color w:val="000000"/>
        <w:sz w:val="20"/>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7894D2F"/>
    <w:multiLevelType w:val="multilevel"/>
    <w:tmpl w:val="89AAB9E4"/>
    <w:lvl w:ilvl="0">
      <w:start w:val="1"/>
      <w:numFmt w:val="bullet"/>
      <w:lvlText w:val=""/>
      <w:lvlJc w:val="left"/>
      <w:pPr>
        <w:ind w:left="644" w:hanging="360"/>
      </w:pPr>
      <w:rPr>
        <w:rFonts w:ascii="Wingdings" w:hAnsi="Wingdings" w:hint="default"/>
        <w:b/>
        <w:sz w:val="26"/>
      </w:rPr>
    </w:lvl>
    <w:lvl w:ilvl="1">
      <w:start w:val="1"/>
      <w:numFmt w:val="bullet"/>
      <w:lvlText w:val="•"/>
      <w:lvlJc w:val="left"/>
      <w:pPr>
        <w:ind w:left="1785" w:hanging="705"/>
      </w:pPr>
      <w:rPr>
        <w:rFonts w:ascii="Times New Roman" w:hAnsi="Times New Roman" w:hint="default"/>
        <w:b/>
      </w:rPr>
    </w:lvl>
    <w:lvl w:ilvl="2">
      <w:start w:val="1"/>
      <w:numFmt w:val="bullet"/>
      <w:lvlText w:val=""/>
      <w:lvlJc w:val="left"/>
      <w:pPr>
        <w:ind w:left="2160" w:hanging="360"/>
      </w:pPr>
      <w:rPr>
        <w:rFonts w:ascii="Wingdings" w:hAnsi="Wingdings" w:hint="default"/>
        <w:b/>
        <w:sz w:val="26"/>
      </w:rPr>
    </w:lvl>
    <w:lvl w:ilvl="3">
      <w:start w:val="1"/>
      <w:numFmt w:val="bullet"/>
      <w:lvlText w:val=""/>
      <w:lvlJc w:val="left"/>
      <w:pPr>
        <w:ind w:left="2880" w:hanging="360"/>
      </w:pPr>
      <w:rPr>
        <w:rFonts w:ascii="Symbol" w:hAnsi="Symbol" w:hint="default"/>
        <w:b/>
        <w:sz w:val="24"/>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6"/>
      </w:rPr>
    </w:lvl>
    <w:lvl w:ilvl="6">
      <w:start w:val="1"/>
      <w:numFmt w:val="bullet"/>
      <w:lvlText w:val=""/>
      <w:lvlJc w:val="left"/>
      <w:pPr>
        <w:ind w:left="5040" w:hanging="360"/>
      </w:pPr>
      <w:rPr>
        <w:rFonts w:ascii="Symbol" w:hAnsi="Symbol" w:hint="default"/>
        <w:b/>
        <w:sz w:val="24"/>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6"/>
      </w:rPr>
    </w:lvl>
  </w:abstractNum>
  <w:abstractNum w:abstractNumId="5" w15:restartNumberingAfterBreak="0">
    <w:nsid w:val="09EC4E30"/>
    <w:multiLevelType w:val="hybridMultilevel"/>
    <w:tmpl w:val="75222B8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0F6E0F61"/>
    <w:multiLevelType w:val="hybridMultilevel"/>
    <w:tmpl w:val="72C45A50"/>
    <w:lvl w:ilvl="0" w:tplc="F498FF2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0C21448"/>
    <w:multiLevelType w:val="hybridMultilevel"/>
    <w:tmpl w:val="3E3032E0"/>
    <w:lvl w:ilvl="0" w:tplc="F47A733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13728"/>
    <w:multiLevelType w:val="hybridMultilevel"/>
    <w:tmpl w:val="BEDA3E54"/>
    <w:lvl w:ilvl="0" w:tplc="A636F384">
      <w:start w:val="1"/>
      <w:numFmt w:val="lowerLetter"/>
      <w:lvlText w:val="%1)"/>
      <w:lvlJc w:val="left"/>
      <w:pPr>
        <w:ind w:left="720" w:hanging="360"/>
      </w:pPr>
      <w:rPr>
        <w:rFonts w:cs="Times New Roman"/>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0906CDF"/>
    <w:multiLevelType w:val="hybridMultilevel"/>
    <w:tmpl w:val="9E244A1C"/>
    <w:lvl w:ilvl="0" w:tplc="A78AD9E8">
      <w:start w:val="1"/>
      <w:numFmt w:val="bullet"/>
      <w:pStyle w:val="Seznamsodrkami"/>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6446BE"/>
    <w:multiLevelType w:val="hybridMultilevel"/>
    <w:tmpl w:val="BB3C6836"/>
    <w:lvl w:ilvl="0" w:tplc="0405000D">
      <w:start w:val="1"/>
      <w:numFmt w:val="bullet"/>
      <w:lvlText w:val=""/>
      <w:lvlJc w:val="left"/>
      <w:pPr>
        <w:ind w:left="720" w:hanging="360"/>
      </w:pPr>
      <w:rPr>
        <w:rFonts w:ascii="Wingdings" w:hAnsi="Wingdings" w:hint="default"/>
      </w:rPr>
    </w:lvl>
    <w:lvl w:ilvl="1" w:tplc="7638B4C8">
      <w:numFmt w:val="bullet"/>
      <w:lvlText w:val="•"/>
      <w:lvlJc w:val="left"/>
      <w:pPr>
        <w:ind w:left="1785" w:hanging="705"/>
      </w:pPr>
      <w:rPr>
        <w:rFonts w:ascii="Times New Roman" w:eastAsia="Times New Roman" w:hAnsi="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9AB47A2"/>
    <w:multiLevelType w:val="hybridMultilevel"/>
    <w:tmpl w:val="93AA84A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29DD3E0D"/>
    <w:multiLevelType w:val="hybridMultilevel"/>
    <w:tmpl w:val="F6A841C2"/>
    <w:lvl w:ilvl="0" w:tplc="36EC7E44">
      <w:start w:val="1"/>
      <w:numFmt w:val="decimal"/>
      <w:lvlText w:val="%1."/>
      <w:lvlJc w:val="left"/>
      <w:pPr>
        <w:ind w:left="720" w:hanging="360"/>
      </w:pPr>
      <w:rPr>
        <w:rFonts w:ascii="Times New Roman" w:hAnsi="Times New Roman" w:cs="Times New Roman" w:hint="default"/>
        <w:b/>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2B296C78"/>
    <w:multiLevelType w:val="multilevel"/>
    <w:tmpl w:val="CA0CD7C6"/>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416601E"/>
    <w:multiLevelType w:val="multilevel"/>
    <w:tmpl w:val="7A883EB6"/>
    <w:lvl w:ilvl="0">
      <w:start w:val="2"/>
      <w:numFmt w:val="decimal"/>
      <w:lvlText w:val="%1."/>
      <w:lvlJc w:val="left"/>
      <w:pPr>
        <w:ind w:left="360" w:hanging="360"/>
      </w:pPr>
      <w:rPr>
        <w:rFonts w:cs="Times New Roman" w:hint="default"/>
        <w:b w:val="0"/>
        <w:bCs w:val="0"/>
        <w:sz w:val="24"/>
        <w:szCs w:val="24"/>
        <w:u w:val="none"/>
      </w:rPr>
    </w:lvl>
    <w:lvl w:ilvl="1">
      <w:start w:val="1"/>
      <w:numFmt w:val="decimal"/>
      <w:lvlText w:val="%1.%2."/>
      <w:lvlJc w:val="left"/>
      <w:pPr>
        <w:ind w:left="720" w:hanging="720"/>
      </w:pPr>
      <w:rPr>
        <w:rFonts w:cs="Times New Roman" w:hint="default"/>
        <w:b/>
        <w:bCs/>
        <w:sz w:val="26"/>
        <w:szCs w:val="26"/>
        <w:u w:val="none"/>
      </w:rPr>
    </w:lvl>
    <w:lvl w:ilvl="2">
      <w:start w:val="1"/>
      <w:numFmt w:val="lowerLetter"/>
      <w:lvlText w:val="%1.%2.%3."/>
      <w:lvlJc w:val="left"/>
      <w:pPr>
        <w:ind w:left="720" w:hanging="720"/>
      </w:pPr>
      <w:rPr>
        <w:rFonts w:cs="Times New Roman" w:hint="default"/>
        <w:b w:val="0"/>
        <w:bCs w:val="0"/>
        <w:sz w:val="24"/>
        <w:szCs w:val="24"/>
        <w:u w:val="none"/>
      </w:rPr>
    </w:lvl>
    <w:lvl w:ilvl="3">
      <w:start w:val="1"/>
      <w:numFmt w:val="decimal"/>
      <w:lvlText w:val="%1.%2.%3.%4."/>
      <w:lvlJc w:val="left"/>
      <w:pPr>
        <w:ind w:left="1080" w:hanging="1080"/>
      </w:pPr>
      <w:rPr>
        <w:rFonts w:cs="Times New Roman" w:hint="default"/>
        <w:b w:val="0"/>
        <w:bCs w:val="0"/>
        <w:sz w:val="24"/>
        <w:szCs w:val="24"/>
        <w:u w:val="none"/>
      </w:rPr>
    </w:lvl>
    <w:lvl w:ilvl="4">
      <w:start w:val="1"/>
      <w:numFmt w:val="decimal"/>
      <w:lvlText w:val="%1.%2.%3.%4.%5."/>
      <w:lvlJc w:val="left"/>
      <w:pPr>
        <w:ind w:left="1080" w:hanging="1080"/>
      </w:pPr>
      <w:rPr>
        <w:rFonts w:cs="Times New Roman" w:hint="default"/>
        <w:b w:val="0"/>
        <w:bCs w:val="0"/>
        <w:sz w:val="24"/>
        <w:szCs w:val="24"/>
        <w:u w:val="none"/>
      </w:rPr>
    </w:lvl>
    <w:lvl w:ilvl="5">
      <w:start w:val="1"/>
      <w:numFmt w:val="decimal"/>
      <w:lvlText w:val="%1.%2.%3.%4.%5.%6."/>
      <w:lvlJc w:val="left"/>
      <w:pPr>
        <w:ind w:left="1440" w:hanging="1440"/>
      </w:pPr>
      <w:rPr>
        <w:rFonts w:cs="Times New Roman" w:hint="default"/>
        <w:b w:val="0"/>
        <w:bCs w:val="0"/>
        <w:sz w:val="24"/>
        <w:szCs w:val="24"/>
        <w:u w:val="none"/>
      </w:rPr>
    </w:lvl>
    <w:lvl w:ilvl="6">
      <w:start w:val="1"/>
      <w:numFmt w:val="decimal"/>
      <w:lvlText w:val="%1.%2.%3.%4.%5.%6.%7."/>
      <w:lvlJc w:val="left"/>
      <w:pPr>
        <w:ind w:left="1800" w:hanging="1800"/>
      </w:pPr>
      <w:rPr>
        <w:rFonts w:cs="Times New Roman" w:hint="default"/>
        <w:b w:val="0"/>
        <w:bCs w:val="0"/>
        <w:sz w:val="24"/>
        <w:szCs w:val="24"/>
        <w:u w:val="none"/>
      </w:rPr>
    </w:lvl>
    <w:lvl w:ilvl="7">
      <w:start w:val="1"/>
      <w:numFmt w:val="decimal"/>
      <w:lvlText w:val="%1.%2.%3.%4.%5.%6.%7.%8."/>
      <w:lvlJc w:val="left"/>
      <w:pPr>
        <w:ind w:left="1800" w:hanging="1800"/>
      </w:pPr>
      <w:rPr>
        <w:rFonts w:cs="Times New Roman" w:hint="default"/>
        <w:b w:val="0"/>
        <w:bCs w:val="0"/>
        <w:sz w:val="24"/>
        <w:szCs w:val="24"/>
        <w:u w:val="none"/>
      </w:rPr>
    </w:lvl>
    <w:lvl w:ilvl="8">
      <w:start w:val="1"/>
      <w:numFmt w:val="decimal"/>
      <w:lvlText w:val="%1.%2.%3.%4.%5.%6.%7.%8.%9."/>
      <w:lvlJc w:val="left"/>
      <w:pPr>
        <w:ind w:left="2160" w:hanging="2160"/>
      </w:pPr>
      <w:rPr>
        <w:rFonts w:cs="Times New Roman" w:hint="default"/>
        <w:b w:val="0"/>
        <w:bCs w:val="0"/>
        <w:sz w:val="24"/>
        <w:szCs w:val="24"/>
        <w:u w:val="none"/>
      </w:rPr>
    </w:lvl>
  </w:abstractNum>
  <w:abstractNum w:abstractNumId="15" w15:restartNumberingAfterBreak="0">
    <w:nsid w:val="39A06B38"/>
    <w:multiLevelType w:val="hybridMultilevel"/>
    <w:tmpl w:val="12662EF2"/>
    <w:lvl w:ilvl="0" w:tplc="F498FF2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A4410B9"/>
    <w:multiLevelType w:val="hybridMultilevel"/>
    <w:tmpl w:val="70FCFF54"/>
    <w:lvl w:ilvl="0" w:tplc="F256659C">
      <w:numFmt w:val="bullet"/>
      <w:lvlText w:val=""/>
      <w:lvlJc w:val="left"/>
      <w:pPr>
        <w:ind w:left="1068" w:hanging="360"/>
      </w:pPr>
      <w:rPr>
        <w:rFonts w:ascii="Symbol" w:eastAsia="Times New Roman"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3BBE2448"/>
    <w:multiLevelType w:val="hybridMultilevel"/>
    <w:tmpl w:val="8D020994"/>
    <w:lvl w:ilvl="0" w:tplc="1064476C">
      <w:start w:val="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F392F37"/>
    <w:multiLevelType w:val="hybridMultilevel"/>
    <w:tmpl w:val="2892D8E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1C03256"/>
    <w:multiLevelType w:val="hybridMultilevel"/>
    <w:tmpl w:val="BA2A4CA2"/>
    <w:lvl w:ilvl="0" w:tplc="F498FF2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250300B"/>
    <w:multiLevelType w:val="multilevel"/>
    <w:tmpl w:val="8EC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16149"/>
    <w:multiLevelType w:val="hybridMultilevel"/>
    <w:tmpl w:val="EA2647C4"/>
    <w:lvl w:ilvl="0" w:tplc="F498FF2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CF34DEF"/>
    <w:multiLevelType w:val="hybridMultilevel"/>
    <w:tmpl w:val="12DABA80"/>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06A346B"/>
    <w:multiLevelType w:val="multilevel"/>
    <w:tmpl w:val="96327E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24B60D3"/>
    <w:multiLevelType w:val="hybridMultilevel"/>
    <w:tmpl w:val="D1F2B832"/>
    <w:lvl w:ilvl="0" w:tplc="FFFFFFFF">
      <w:start w:val="1"/>
      <w:numFmt w:val="bullet"/>
      <w:lvlText w:val=""/>
      <w:lvlJc w:val="left"/>
      <w:pPr>
        <w:tabs>
          <w:tab w:val="num" w:pos="720"/>
        </w:tabs>
        <w:ind w:left="720" w:hanging="360"/>
      </w:pPr>
      <w:rPr>
        <w:rFonts w:ascii="Wingdings" w:hAnsi="Wingdings" w:hint="default"/>
        <w:b w:val="0"/>
      </w:rPr>
    </w:lvl>
    <w:lvl w:ilvl="1" w:tplc="CA166CA0">
      <w:start w:val="5"/>
      <w:numFmt w:val="upperRoman"/>
      <w:lvlText w:val="%2."/>
      <w:lvlJc w:val="left"/>
      <w:pPr>
        <w:tabs>
          <w:tab w:val="num" w:pos="2520"/>
        </w:tabs>
        <w:ind w:left="2520" w:hanging="720"/>
      </w:pPr>
      <w:rPr>
        <w:rFonts w:cs="Times New Roman" w:hint="default"/>
        <w:b w:val="0"/>
        <w:bCs w:val="0"/>
        <w:sz w:val="24"/>
        <w:szCs w:val="24"/>
      </w:rPr>
    </w:lvl>
    <w:lvl w:ilvl="2" w:tplc="0405001B">
      <w:start w:val="1"/>
      <w:numFmt w:val="lowerRoman"/>
      <w:lvlText w:val="%3."/>
      <w:lvlJc w:val="right"/>
      <w:pPr>
        <w:tabs>
          <w:tab w:val="num" w:pos="2880"/>
        </w:tabs>
        <w:ind w:left="2880" w:hanging="180"/>
      </w:pPr>
      <w:rPr>
        <w:rFonts w:cs="Times New Roman"/>
      </w:rPr>
    </w:lvl>
    <w:lvl w:ilvl="3" w:tplc="0405000F">
      <w:start w:val="1"/>
      <w:numFmt w:val="decimal"/>
      <w:lvlText w:val="%4."/>
      <w:lvlJc w:val="left"/>
      <w:pPr>
        <w:tabs>
          <w:tab w:val="num" w:pos="3600"/>
        </w:tabs>
        <w:ind w:left="3600" w:hanging="360"/>
      </w:pPr>
      <w:rPr>
        <w:rFonts w:cs="Times New Roman"/>
      </w:rPr>
    </w:lvl>
    <w:lvl w:ilvl="4" w:tplc="04050019">
      <w:start w:val="1"/>
      <w:numFmt w:val="lowerLetter"/>
      <w:lvlText w:val="%5."/>
      <w:lvlJc w:val="left"/>
      <w:pPr>
        <w:tabs>
          <w:tab w:val="num" w:pos="4320"/>
        </w:tabs>
        <w:ind w:left="4320" w:hanging="360"/>
      </w:pPr>
      <w:rPr>
        <w:rFonts w:cs="Times New Roman"/>
      </w:rPr>
    </w:lvl>
    <w:lvl w:ilvl="5" w:tplc="0405001B">
      <w:start w:val="1"/>
      <w:numFmt w:val="lowerRoman"/>
      <w:lvlText w:val="%6."/>
      <w:lvlJc w:val="right"/>
      <w:pPr>
        <w:tabs>
          <w:tab w:val="num" w:pos="5040"/>
        </w:tabs>
        <w:ind w:left="5040" w:hanging="180"/>
      </w:pPr>
      <w:rPr>
        <w:rFonts w:cs="Times New Roman"/>
      </w:rPr>
    </w:lvl>
    <w:lvl w:ilvl="6" w:tplc="0405000F">
      <w:start w:val="1"/>
      <w:numFmt w:val="decimal"/>
      <w:lvlText w:val="%7."/>
      <w:lvlJc w:val="left"/>
      <w:pPr>
        <w:tabs>
          <w:tab w:val="num" w:pos="5760"/>
        </w:tabs>
        <w:ind w:left="5760" w:hanging="360"/>
      </w:pPr>
      <w:rPr>
        <w:rFonts w:cs="Times New Roman"/>
      </w:rPr>
    </w:lvl>
    <w:lvl w:ilvl="7" w:tplc="04050019">
      <w:start w:val="1"/>
      <w:numFmt w:val="lowerLetter"/>
      <w:lvlText w:val="%8."/>
      <w:lvlJc w:val="left"/>
      <w:pPr>
        <w:tabs>
          <w:tab w:val="num" w:pos="6480"/>
        </w:tabs>
        <w:ind w:left="6480" w:hanging="360"/>
      </w:pPr>
      <w:rPr>
        <w:rFonts w:cs="Times New Roman"/>
      </w:rPr>
    </w:lvl>
    <w:lvl w:ilvl="8" w:tplc="0405001B">
      <w:start w:val="1"/>
      <w:numFmt w:val="lowerRoman"/>
      <w:lvlText w:val="%9."/>
      <w:lvlJc w:val="right"/>
      <w:pPr>
        <w:tabs>
          <w:tab w:val="num" w:pos="7200"/>
        </w:tabs>
        <w:ind w:left="7200" w:hanging="180"/>
      </w:pPr>
      <w:rPr>
        <w:rFonts w:cs="Times New Roman"/>
      </w:rPr>
    </w:lvl>
  </w:abstractNum>
  <w:abstractNum w:abstractNumId="25" w15:restartNumberingAfterBreak="0">
    <w:nsid w:val="5357029A"/>
    <w:multiLevelType w:val="hybridMultilevel"/>
    <w:tmpl w:val="76DE9416"/>
    <w:lvl w:ilvl="0" w:tplc="0405000F">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544D6791"/>
    <w:multiLevelType w:val="multilevel"/>
    <w:tmpl w:val="F5D4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F6031"/>
    <w:multiLevelType w:val="hybridMultilevel"/>
    <w:tmpl w:val="274613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5ACB75AA"/>
    <w:multiLevelType w:val="hybridMultilevel"/>
    <w:tmpl w:val="0262A8A4"/>
    <w:lvl w:ilvl="0" w:tplc="8B06D93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EB056DA"/>
    <w:multiLevelType w:val="hybridMultilevel"/>
    <w:tmpl w:val="1854ACD0"/>
    <w:lvl w:ilvl="0" w:tplc="5C106006">
      <w:start w:val="1"/>
      <w:numFmt w:val="lowerLetter"/>
      <w:lvlText w:val="%1)"/>
      <w:lvlJc w:val="left"/>
      <w:pPr>
        <w:ind w:left="720" w:hanging="360"/>
      </w:pPr>
      <w:rPr>
        <w:rFonts w:ascii="Times New Roman" w:hAnsi="Times New Roman" w:cs="Times New Roman" w:hint="default"/>
        <w:b/>
        <w:bCs/>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69B357AD"/>
    <w:multiLevelType w:val="hybridMultilevel"/>
    <w:tmpl w:val="D14CF7B2"/>
    <w:lvl w:ilvl="0" w:tplc="0405000F">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6DD143B9"/>
    <w:multiLevelType w:val="multilevel"/>
    <w:tmpl w:val="96327E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E7E1C2C"/>
    <w:multiLevelType w:val="hybridMultilevel"/>
    <w:tmpl w:val="DD1AB770"/>
    <w:lvl w:ilvl="0" w:tplc="D9B6A0EA">
      <w:start w:val="1"/>
      <w:numFmt w:val="lowerLetter"/>
      <w:lvlText w:val="%1)"/>
      <w:lvlJc w:val="left"/>
      <w:pPr>
        <w:ind w:left="720" w:hanging="360"/>
      </w:pPr>
      <w:rPr>
        <w:rFonts w:cs="Times New Roman" w:hint="default"/>
        <w:b/>
        <w:bCs/>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7CD8419A"/>
    <w:multiLevelType w:val="hybridMultilevel"/>
    <w:tmpl w:val="0834ED34"/>
    <w:lvl w:ilvl="0" w:tplc="F498FF2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F506BC5"/>
    <w:multiLevelType w:val="hybridMultilevel"/>
    <w:tmpl w:val="475AD398"/>
    <w:lvl w:ilvl="0" w:tplc="04050017">
      <w:start w:val="1"/>
      <w:numFmt w:val="lowerLetter"/>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num>
  <w:num w:numId="10">
    <w:abstractNumId w:val="5"/>
  </w:num>
  <w:num w:numId="11">
    <w:abstractNumId w:val="29"/>
  </w:num>
  <w:num w:numId="12">
    <w:abstractNumId w:val="31"/>
  </w:num>
  <w:num w:numId="13">
    <w:abstractNumId w:val="18"/>
  </w:num>
  <w:num w:numId="14">
    <w:abstractNumId w:val="8"/>
  </w:num>
  <w:num w:numId="15">
    <w:abstractNumId w:val="15"/>
  </w:num>
  <w:num w:numId="16">
    <w:abstractNumId w:val="17"/>
  </w:num>
  <w:num w:numId="17">
    <w:abstractNumId w:val="11"/>
  </w:num>
  <w:num w:numId="18">
    <w:abstractNumId w:val="34"/>
  </w:num>
  <w:num w:numId="19">
    <w:abstractNumId w:val="10"/>
  </w:num>
  <w:num w:numId="20">
    <w:abstractNumId w:val="22"/>
  </w:num>
  <w:num w:numId="21">
    <w:abstractNumId w:val="30"/>
  </w:num>
  <w:num w:numId="22">
    <w:abstractNumId w:val="25"/>
  </w:num>
  <w:num w:numId="23">
    <w:abstractNumId w:val="7"/>
  </w:num>
  <w:num w:numId="24">
    <w:abstractNumId w:val="21"/>
  </w:num>
  <w:num w:numId="25">
    <w:abstractNumId w:val="28"/>
  </w:num>
  <w:num w:numId="26">
    <w:abstractNumId w:val="19"/>
  </w:num>
  <w:num w:numId="27">
    <w:abstractNumId w:val="6"/>
  </w:num>
  <w:num w:numId="28">
    <w:abstractNumId w:val="27"/>
  </w:num>
  <w:num w:numId="29">
    <w:abstractNumId w:val="32"/>
  </w:num>
  <w:num w:numId="30">
    <w:abstractNumId w:val="33"/>
  </w:num>
  <w:num w:numId="31">
    <w:abstractNumId w:val="23"/>
  </w:num>
  <w:num w:numId="32">
    <w:abstractNumId w:val="14"/>
  </w:num>
  <w:num w:numId="33">
    <w:abstractNumId w:val="9"/>
  </w:num>
  <w:num w:numId="34">
    <w:abstractNumId w:val="24"/>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0"/>
  </w:num>
  <w:num w:numId="40">
    <w:abstractNumId w:val="2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de-DE" w:vendorID="64" w:dllVersion="131078" w:nlCheck="1" w:checkStyle="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6E"/>
    <w:rsid w:val="000205DC"/>
    <w:rsid w:val="00021036"/>
    <w:rsid w:val="000214B4"/>
    <w:rsid w:val="0002610B"/>
    <w:rsid w:val="00056B44"/>
    <w:rsid w:val="00066F98"/>
    <w:rsid w:val="00067418"/>
    <w:rsid w:val="00075022"/>
    <w:rsid w:val="0008251B"/>
    <w:rsid w:val="00095DDF"/>
    <w:rsid w:val="000C093C"/>
    <w:rsid w:val="000C0ABC"/>
    <w:rsid w:val="000C6531"/>
    <w:rsid w:val="000C6837"/>
    <w:rsid w:val="000D0C27"/>
    <w:rsid w:val="000D20FD"/>
    <w:rsid w:val="001133FB"/>
    <w:rsid w:val="00116B97"/>
    <w:rsid w:val="00116F6D"/>
    <w:rsid w:val="00120FD0"/>
    <w:rsid w:val="001246FA"/>
    <w:rsid w:val="00124E4A"/>
    <w:rsid w:val="00151A69"/>
    <w:rsid w:val="00174060"/>
    <w:rsid w:val="001743EE"/>
    <w:rsid w:val="00181BEF"/>
    <w:rsid w:val="001823C3"/>
    <w:rsid w:val="00186B97"/>
    <w:rsid w:val="00193E9E"/>
    <w:rsid w:val="00196D84"/>
    <w:rsid w:val="001976F8"/>
    <w:rsid w:val="001A1B7C"/>
    <w:rsid w:val="001E4386"/>
    <w:rsid w:val="001F0C35"/>
    <w:rsid w:val="002023B6"/>
    <w:rsid w:val="00206667"/>
    <w:rsid w:val="00227AC9"/>
    <w:rsid w:val="0024088B"/>
    <w:rsid w:val="0024207B"/>
    <w:rsid w:val="00242C6C"/>
    <w:rsid w:val="00243BC5"/>
    <w:rsid w:val="00244ED6"/>
    <w:rsid w:val="0026090A"/>
    <w:rsid w:val="0026143B"/>
    <w:rsid w:val="0026598F"/>
    <w:rsid w:val="00277E32"/>
    <w:rsid w:val="002824CC"/>
    <w:rsid w:val="00292AC2"/>
    <w:rsid w:val="002A6247"/>
    <w:rsid w:val="002A6CD2"/>
    <w:rsid w:val="002B237E"/>
    <w:rsid w:val="002B44DF"/>
    <w:rsid w:val="002C6B2F"/>
    <w:rsid w:val="002C7A71"/>
    <w:rsid w:val="002D0F4D"/>
    <w:rsid w:val="002D3BCD"/>
    <w:rsid w:val="002D5515"/>
    <w:rsid w:val="002E2A05"/>
    <w:rsid w:val="002E719C"/>
    <w:rsid w:val="002F7872"/>
    <w:rsid w:val="00310BBE"/>
    <w:rsid w:val="00317EDF"/>
    <w:rsid w:val="00321916"/>
    <w:rsid w:val="003321D9"/>
    <w:rsid w:val="00354962"/>
    <w:rsid w:val="00357922"/>
    <w:rsid w:val="00374BAF"/>
    <w:rsid w:val="00380E2A"/>
    <w:rsid w:val="0038372C"/>
    <w:rsid w:val="003B04C5"/>
    <w:rsid w:val="003B425B"/>
    <w:rsid w:val="003B4335"/>
    <w:rsid w:val="003B69C2"/>
    <w:rsid w:val="003C193C"/>
    <w:rsid w:val="003C4996"/>
    <w:rsid w:val="003D3290"/>
    <w:rsid w:val="003D693E"/>
    <w:rsid w:val="003D6FAB"/>
    <w:rsid w:val="003E0F1A"/>
    <w:rsid w:val="003F1747"/>
    <w:rsid w:val="003F7C86"/>
    <w:rsid w:val="00406AC9"/>
    <w:rsid w:val="00424261"/>
    <w:rsid w:val="004254CF"/>
    <w:rsid w:val="00425506"/>
    <w:rsid w:val="0043538E"/>
    <w:rsid w:val="00437AE8"/>
    <w:rsid w:val="00441633"/>
    <w:rsid w:val="00457BF4"/>
    <w:rsid w:val="00462832"/>
    <w:rsid w:val="00462BBA"/>
    <w:rsid w:val="00465434"/>
    <w:rsid w:val="004662CA"/>
    <w:rsid w:val="0047762D"/>
    <w:rsid w:val="004850A0"/>
    <w:rsid w:val="00486300"/>
    <w:rsid w:val="00493A61"/>
    <w:rsid w:val="004A0360"/>
    <w:rsid w:val="004B2E01"/>
    <w:rsid w:val="004C0568"/>
    <w:rsid w:val="004C48A9"/>
    <w:rsid w:val="00504A62"/>
    <w:rsid w:val="00504FBA"/>
    <w:rsid w:val="00507082"/>
    <w:rsid w:val="00513171"/>
    <w:rsid w:val="005213B8"/>
    <w:rsid w:val="0052272E"/>
    <w:rsid w:val="00523AE9"/>
    <w:rsid w:val="005276CC"/>
    <w:rsid w:val="00527CC7"/>
    <w:rsid w:val="00544811"/>
    <w:rsid w:val="00547AFF"/>
    <w:rsid w:val="00555E4A"/>
    <w:rsid w:val="0057092B"/>
    <w:rsid w:val="00581A13"/>
    <w:rsid w:val="00585499"/>
    <w:rsid w:val="00586536"/>
    <w:rsid w:val="005872CD"/>
    <w:rsid w:val="005A1694"/>
    <w:rsid w:val="005C3825"/>
    <w:rsid w:val="005D2FEF"/>
    <w:rsid w:val="005E5F84"/>
    <w:rsid w:val="006056EB"/>
    <w:rsid w:val="0063454B"/>
    <w:rsid w:val="00656741"/>
    <w:rsid w:val="00657502"/>
    <w:rsid w:val="00672CC5"/>
    <w:rsid w:val="00673C3A"/>
    <w:rsid w:val="00680ECE"/>
    <w:rsid w:val="00684AE6"/>
    <w:rsid w:val="00690157"/>
    <w:rsid w:val="0069792B"/>
    <w:rsid w:val="006B27C9"/>
    <w:rsid w:val="006B2CA9"/>
    <w:rsid w:val="006B3E51"/>
    <w:rsid w:val="006C11F7"/>
    <w:rsid w:val="006D5FF0"/>
    <w:rsid w:val="006D7CD5"/>
    <w:rsid w:val="006E6C69"/>
    <w:rsid w:val="006E7703"/>
    <w:rsid w:val="006F363A"/>
    <w:rsid w:val="006F631B"/>
    <w:rsid w:val="006F6615"/>
    <w:rsid w:val="00723DD8"/>
    <w:rsid w:val="00734CF4"/>
    <w:rsid w:val="007469E7"/>
    <w:rsid w:val="00760D57"/>
    <w:rsid w:val="0076363C"/>
    <w:rsid w:val="00763D79"/>
    <w:rsid w:val="00774B42"/>
    <w:rsid w:val="007A0951"/>
    <w:rsid w:val="007B0A02"/>
    <w:rsid w:val="007E266E"/>
    <w:rsid w:val="007F16D0"/>
    <w:rsid w:val="007F6956"/>
    <w:rsid w:val="007F6BCA"/>
    <w:rsid w:val="00835F2F"/>
    <w:rsid w:val="00836FD7"/>
    <w:rsid w:val="0086113F"/>
    <w:rsid w:val="00867EAD"/>
    <w:rsid w:val="0088609F"/>
    <w:rsid w:val="008904F2"/>
    <w:rsid w:val="008909E3"/>
    <w:rsid w:val="00893646"/>
    <w:rsid w:val="008A0951"/>
    <w:rsid w:val="008A1EC5"/>
    <w:rsid w:val="008A42DB"/>
    <w:rsid w:val="008A7716"/>
    <w:rsid w:val="008A7721"/>
    <w:rsid w:val="008A7929"/>
    <w:rsid w:val="008C4BCD"/>
    <w:rsid w:val="008D1962"/>
    <w:rsid w:val="008F32F7"/>
    <w:rsid w:val="00904A78"/>
    <w:rsid w:val="00941DF5"/>
    <w:rsid w:val="00954CB4"/>
    <w:rsid w:val="00956C26"/>
    <w:rsid w:val="009712D1"/>
    <w:rsid w:val="00977203"/>
    <w:rsid w:val="00982020"/>
    <w:rsid w:val="00991469"/>
    <w:rsid w:val="009A2873"/>
    <w:rsid w:val="009A672E"/>
    <w:rsid w:val="009B6075"/>
    <w:rsid w:val="009C0740"/>
    <w:rsid w:val="009C1037"/>
    <w:rsid w:val="009F3833"/>
    <w:rsid w:val="00A12103"/>
    <w:rsid w:val="00A147C3"/>
    <w:rsid w:val="00A23D51"/>
    <w:rsid w:val="00A268A6"/>
    <w:rsid w:val="00A51DA9"/>
    <w:rsid w:val="00A73F8C"/>
    <w:rsid w:val="00A76788"/>
    <w:rsid w:val="00A875B8"/>
    <w:rsid w:val="00A87A36"/>
    <w:rsid w:val="00A96C8D"/>
    <w:rsid w:val="00AA6178"/>
    <w:rsid w:val="00B05A7E"/>
    <w:rsid w:val="00B14C13"/>
    <w:rsid w:val="00B33505"/>
    <w:rsid w:val="00B53788"/>
    <w:rsid w:val="00B54C7C"/>
    <w:rsid w:val="00B771F6"/>
    <w:rsid w:val="00B834FE"/>
    <w:rsid w:val="00B83F87"/>
    <w:rsid w:val="00B846E7"/>
    <w:rsid w:val="00BA53EA"/>
    <w:rsid w:val="00BC3B2F"/>
    <w:rsid w:val="00BD29C8"/>
    <w:rsid w:val="00BD7089"/>
    <w:rsid w:val="00BF1A49"/>
    <w:rsid w:val="00BF33ED"/>
    <w:rsid w:val="00C00068"/>
    <w:rsid w:val="00C00E72"/>
    <w:rsid w:val="00C1476F"/>
    <w:rsid w:val="00C44CD3"/>
    <w:rsid w:val="00C71068"/>
    <w:rsid w:val="00C75BA5"/>
    <w:rsid w:val="00C8466A"/>
    <w:rsid w:val="00C924FA"/>
    <w:rsid w:val="00CA2BBD"/>
    <w:rsid w:val="00CA4520"/>
    <w:rsid w:val="00CA5B88"/>
    <w:rsid w:val="00CF1880"/>
    <w:rsid w:val="00CF7888"/>
    <w:rsid w:val="00D06D08"/>
    <w:rsid w:val="00D20C06"/>
    <w:rsid w:val="00D2603B"/>
    <w:rsid w:val="00D32993"/>
    <w:rsid w:val="00D331C5"/>
    <w:rsid w:val="00D371DD"/>
    <w:rsid w:val="00D65F95"/>
    <w:rsid w:val="00D67860"/>
    <w:rsid w:val="00D85869"/>
    <w:rsid w:val="00D95F4E"/>
    <w:rsid w:val="00D97B2F"/>
    <w:rsid w:val="00DA27A2"/>
    <w:rsid w:val="00DC0D1D"/>
    <w:rsid w:val="00DE02EE"/>
    <w:rsid w:val="00DE5AF5"/>
    <w:rsid w:val="00DF5BD0"/>
    <w:rsid w:val="00E03BCB"/>
    <w:rsid w:val="00E11C1E"/>
    <w:rsid w:val="00E20AD8"/>
    <w:rsid w:val="00E3191D"/>
    <w:rsid w:val="00E32835"/>
    <w:rsid w:val="00E35054"/>
    <w:rsid w:val="00E372E7"/>
    <w:rsid w:val="00E4392C"/>
    <w:rsid w:val="00E44078"/>
    <w:rsid w:val="00E61C2E"/>
    <w:rsid w:val="00E745C0"/>
    <w:rsid w:val="00E90E73"/>
    <w:rsid w:val="00E94545"/>
    <w:rsid w:val="00EA72A6"/>
    <w:rsid w:val="00EB105E"/>
    <w:rsid w:val="00ED32B6"/>
    <w:rsid w:val="00EE4FE4"/>
    <w:rsid w:val="00F0543E"/>
    <w:rsid w:val="00F0724A"/>
    <w:rsid w:val="00F1378B"/>
    <w:rsid w:val="00F36516"/>
    <w:rsid w:val="00F542A2"/>
    <w:rsid w:val="00F56902"/>
    <w:rsid w:val="00F5761F"/>
    <w:rsid w:val="00F64043"/>
    <w:rsid w:val="00F74613"/>
    <w:rsid w:val="00F77F87"/>
    <w:rsid w:val="00F82248"/>
    <w:rsid w:val="00F962E0"/>
    <w:rsid w:val="00F97CC9"/>
    <w:rsid w:val="00FA2307"/>
    <w:rsid w:val="00FA3918"/>
    <w:rsid w:val="00FA6B76"/>
    <w:rsid w:val="00FC3817"/>
    <w:rsid w:val="00FF1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72FC2E-4C47-4BD8-A320-AD70BB6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6531"/>
    <w:pPr>
      <w:suppressAutoHyphens/>
    </w:pPr>
    <w:rPr>
      <w:rFonts w:ascii="Arial" w:hAnsi="Arial" w:cs="Arial"/>
      <w:color w:val="00000A"/>
      <w:kern w:val="1"/>
      <w:sz w:val="24"/>
      <w:szCs w:val="24"/>
      <w:lang w:val="de-DE"/>
    </w:rPr>
  </w:style>
  <w:style w:type="paragraph" w:styleId="Nadpis2">
    <w:name w:val="heading 2"/>
    <w:basedOn w:val="Normln"/>
    <w:link w:val="Nadpis2Char"/>
    <w:uiPriority w:val="99"/>
    <w:qFormat/>
    <w:locked/>
    <w:rsid w:val="00763D79"/>
    <w:pPr>
      <w:suppressAutoHyphens w:val="0"/>
      <w:spacing w:before="375" w:after="300"/>
      <w:outlineLvl w:val="1"/>
    </w:pPr>
    <w:rPr>
      <w:rFonts w:ascii="Open Sans" w:hAnsi="Open Sans" w:cs="Open Sans"/>
      <w:color w:val="auto"/>
      <w:kern w:val="0"/>
      <w:sz w:val="42"/>
      <w:szCs w:val="4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763D79"/>
    <w:rPr>
      <w:rFonts w:ascii="Open Sans" w:hAnsi="Open Sans" w:cs="Open Sans"/>
      <w:sz w:val="42"/>
      <w:szCs w:val="42"/>
    </w:rPr>
  </w:style>
  <w:style w:type="character" w:customStyle="1" w:styleId="WW8Num1zfalse">
    <w:name w:val="WW8Num1zfalse"/>
    <w:uiPriority w:val="99"/>
    <w:rsid w:val="000C6531"/>
  </w:style>
  <w:style w:type="character" w:customStyle="1" w:styleId="WW8Num1ztrue">
    <w:name w:val="WW8Num1ztrue"/>
    <w:uiPriority w:val="99"/>
    <w:rsid w:val="000C6531"/>
  </w:style>
  <w:style w:type="character" w:customStyle="1" w:styleId="WW8Num1ztrue7">
    <w:name w:val="WW8Num1ztrue7"/>
    <w:uiPriority w:val="99"/>
    <w:rsid w:val="000C6531"/>
  </w:style>
  <w:style w:type="character" w:customStyle="1" w:styleId="WW8Num1ztrue6">
    <w:name w:val="WW8Num1ztrue6"/>
    <w:uiPriority w:val="99"/>
    <w:rsid w:val="000C6531"/>
  </w:style>
  <w:style w:type="character" w:customStyle="1" w:styleId="WW8Num1ztrue5">
    <w:name w:val="WW8Num1ztrue5"/>
    <w:uiPriority w:val="99"/>
    <w:rsid w:val="000C6531"/>
  </w:style>
  <w:style w:type="character" w:customStyle="1" w:styleId="WW8Num1ztrue4">
    <w:name w:val="WW8Num1ztrue4"/>
    <w:uiPriority w:val="99"/>
    <w:rsid w:val="000C6531"/>
  </w:style>
  <w:style w:type="character" w:customStyle="1" w:styleId="WW8Num1ztrue3">
    <w:name w:val="WW8Num1ztrue3"/>
    <w:uiPriority w:val="99"/>
    <w:rsid w:val="000C6531"/>
  </w:style>
  <w:style w:type="character" w:customStyle="1" w:styleId="WW8Num1ztrue2">
    <w:name w:val="WW8Num1ztrue2"/>
    <w:uiPriority w:val="99"/>
    <w:rsid w:val="000C6531"/>
  </w:style>
  <w:style w:type="character" w:customStyle="1" w:styleId="WW8Num1ztrue1">
    <w:name w:val="WW8Num1ztrue1"/>
    <w:uiPriority w:val="99"/>
    <w:rsid w:val="000C6531"/>
  </w:style>
  <w:style w:type="character" w:customStyle="1" w:styleId="WW8Num2zfalse">
    <w:name w:val="WW8Num2zfalse"/>
    <w:uiPriority w:val="99"/>
    <w:rsid w:val="000C6531"/>
  </w:style>
  <w:style w:type="character" w:customStyle="1" w:styleId="WW8Num2ztrue">
    <w:name w:val="WW8Num2ztrue"/>
    <w:uiPriority w:val="99"/>
    <w:rsid w:val="000C6531"/>
  </w:style>
  <w:style w:type="character" w:customStyle="1" w:styleId="WW8Num2ztrue7">
    <w:name w:val="WW8Num2ztrue7"/>
    <w:uiPriority w:val="99"/>
    <w:rsid w:val="000C6531"/>
  </w:style>
  <w:style w:type="character" w:customStyle="1" w:styleId="WW8Num2ztrue6">
    <w:name w:val="WW8Num2ztrue6"/>
    <w:uiPriority w:val="99"/>
    <w:rsid w:val="000C6531"/>
  </w:style>
  <w:style w:type="character" w:customStyle="1" w:styleId="WW8Num2ztrue5">
    <w:name w:val="WW8Num2ztrue5"/>
    <w:uiPriority w:val="99"/>
    <w:rsid w:val="000C6531"/>
  </w:style>
  <w:style w:type="character" w:customStyle="1" w:styleId="WW8Num2ztrue4">
    <w:name w:val="WW8Num2ztrue4"/>
    <w:uiPriority w:val="99"/>
    <w:rsid w:val="000C6531"/>
  </w:style>
  <w:style w:type="character" w:customStyle="1" w:styleId="WW8Num2ztrue3">
    <w:name w:val="WW8Num2ztrue3"/>
    <w:uiPriority w:val="99"/>
    <w:rsid w:val="000C6531"/>
  </w:style>
  <w:style w:type="character" w:customStyle="1" w:styleId="WW8Num2ztrue2">
    <w:name w:val="WW8Num2ztrue2"/>
    <w:uiPriority w:val="99"/>
    <w:rsid w:val="000C6531"/>
  </w:style>
  <w:style w:type="character" w:customStyle="1" w:styleId="WW8Num2ztrue1">
    <w:name w:val="WW8Num2ztrue1"/>
    <w:uiPriority w:val="99"/>
    <w:rsid w:val="000C6531"/>
  </w:style>
  <w:style w:type="character" w:customStyle="1" w:styleId="WW-WW8Num1ztrue">
    <w:name w:val="WW-WW8Num1ztrue"/>
    <w:uiPriority w:val="99"/>
    <w:rsid w:val="000C6531"/>
  </w:style>
  <w:style w:type="character" w:customStyle="1" w:styleId="WW-WW8Num1ztrue1">
    <w:name w:val="WW-WW8Num1ztrue1"/>
    <w:uiPriority w:val="99"/>
    <w:rsid w:val="000C6531"/>
  </w:style>
  <w:style w:type="character" w:customStyle="1" w:styleId="WW-WW8Num1ztrue12">
    <w:name w:val="WW-WW8Num1ztrue12"/>
    <w:uiPriority w:val="99"/>
    <w:rsid w:val="000C6531"/>
  </w:style>
  <w:style w:type="character" w:customStyle="1" w:styleId="WW-WW8Num1ztrue123">
    <w:name w:val="WW-WW8Num1ztrue123"/>
    <w:uiPriority w:val="99"/>
    <w:rsid w:val="000C6531"/>
  </w:style>
  <w:style w:type="character" w:customStyle="1" w:styleId="WW-WW8Num1ztrue1234">
    <w:name w:val="WW-WW8Num1ztrue1234"/>
    <w:uiPriority w:val="99"/>
    <w:rsid w:val="000C6531"/>
  </w:style>
  <w:style w:type="character" w:customStyle="1" w:styleId="WW-WW8Num1ztrue12345">
    <w:name w:val="WW-WW8Num1ztrue12345"/>
    <w:uiPriority w:val="99"/>
    <w:rsid w:val="000C6531"/>
  </w:style>
  <w:style w:type="character" w:customStyle="1" w:styleId="WW-WW8Num1ztrue123456">
    <w:name w:val="WW-WW8Num1ztrue123456"/>
    <w:uiPriority w:val="99"/>
    <w:rsid w:val="000C6531"/>
  </w:style>
  <w:style w:type="character" w:customStyle="1" w:styleId="WW-WW8Num2ztrue">
    <w:name w:val="WW-WW8Num2ztrue"/>
    <w:uiPriority w:val="99"/>
    <w:rsid w:val="000C6531"/>
  </w:style>
  <w:style w:type="character" w:customStyle="1" w:styleId="WW-WW8Num2ztrue1">
    <w:name w:val="WW-WW8Num2ztrue1"/>
    <w:uiPriority w:val="99"/>
    <w:rsid w:val="000C6531"/>
  </w:style>
  <w:style w:type="character" w:customStyle="1" w:styleId="WW-WW8Num2ztrue12">
    <w:name w:val="WW-WW8Num2ztrue12"/>
    <w:uiPriority w:val="99"/>
    <w:rsid w:val="000C6531"/>
  </w:style>
  <w:style w:type="character" w:customStyle="1" w:styleId="WW-WW8Num2ztrue123">
    <w:name w:val="WW-WW8Num2ztrue123"/>
    <w:uiPriority w:val="99"/>
    <w:rsid w:val="000C6531"/>
  </w:style>
  <w:style w:type="character" w:customStyle="1" w:styleId="WW-WW8Num2ztrue1234">
    <w:name w:val="WW-WW8Num2ztrue1234"/>
    <w:uiPriority w:val="99"/>
    <w:rsid w:val="000C6531"/>
  </w:style>
  <w:style w:type="character" w:customStyle="1" w:styleId="WW-WW8Num2ztrue12345">
    <w:name w:val="WW-WW8Num2ztrue12345"/>
    <w:uiPriority w:val="99"/>
    <w:rsid w:val="000C6531"/>
  </w:style>
  <w:style w:type="character" w:customStyle="1" w:styleId="WW-WW8Num2ztrue123456">
    <w:name w:val="WW-WW8Num2ztrue123456"/>
    <w:uiPriority w:val="99"/>
    <w:rsid w:val="000C6531"/>
  </w:style>
  <w:style w:type="character" w:customStyle="1" w:styleId="WW-WW8Num1ztrue1234567">
    <w:name w:val="WW-WW8Num1ztrue1234567"/>
    <w:uiPriority w:val="99"/>
    <w:rsid w:val="000C6531"/>
  </w:style>
  <w:style w:type="character" w:customStyle="1" w:styleId="WW-WW8Num1ztrue11">
    <w:name w:val="WW-WW8Num1ztrue11"/>
    <w:uiPriority w:val="99"/>
    <w:rsid w:val="000C6531"/>
  </w:style>
  <w:style w:type="character" w:customStyle="1" w:styleId="WW-WW8Num1ztrue121">
    <w:name w:val="WW-WW8Num1ztrue121"/>
    <w:uiPriority w:val="99"/>
    <w:rsid w:val="000C6531"/>
  </w:style>
  <w:style w:type="character" w:customStyle="1" w:styleId="WW-WW8Num1ztrue1231">
    <w:name w:val="WW-WW8Num1ztrue1231"/>
    <w:uiPriority w:val="99"/>
    <w:rsid w:val="000C6531"/>
  </w:style>
  <w:style w:type="character" w:customStyle="1" w:styleId="WW-WW8Num1ztrue12341">
    <w:name w:val="WW-WW8Num1ztrue12341"/>
    <w:uiPriority w:val="99"/>
    <w:rsid w:val="000C6531"/>
  </w:style>
  <w:style w:type="character" w:customStyle="1" w:styleId="WW-WW8Num1ztrue123451">
    <w:name w:val="WW-WW8Num1ztrue123451"/>
    <w:uiPriority w:val="99"/>
    <w:rsid w:val="000C6531"/>
  </w:style>
  <w:style w:type="character" w:customStyle="1" w:styleId="WW-WW8Num1ztrue1234561">
    <w:name w:val="WW-WW8Num1ztrue1234561"/>
    <w:uiPriority w:val="99"/>
    <w:rsid w:val="000C6531"/>
  </w:style>
  <w:style w:type="character" w:customStyle="1" w:styleId="WW-WW8Num2ztrue1234567">
    <w:name w:val="WW-WW8Num2ztrue1234567"/>
    <w:uiPriority w:val="99"/>
    <w:rsid w:val="000C6531"/>
  </w:style>
  <w:style w:type="character" w:customStyle="1" w:styleId="WW-WW8Num2ztrue11">
    <w:name w:val="WW-WW8Num2ztrue11"/>
    <w:uiPriority w:val="99"/>
    <w:rsid w:val="000C6531"/>
  </w:style>
  <w:style w:type="character" w:customStyle="1" w:styleId="WW-WW8Num2ztrue121">
    <w:name w:val="WW-WW8Num2ztrue121"/>
    <w:uiPriority w:val="99"/>
    <w:rsid w:val="000C6531"/>
  </w:style>
  <w:style w:type="character" w:customStyle="1" w:styleId="WW-WW8Num2ztrue1231">
    <w:name w:val="WW-WW8Num2ztrue1231"/>
    <w:uiPriority w:val="99"/>
    <w:rsid w:val="000C6531"/>
  </w:style>
  <w:style w:type="character" w:customStyle="1" w:styleId="WW-WW8Num2ztrue12341">
    <w:name w:val="WW-WW8Num2ztrue12341"/>
    <w:uiPriority w:val="99"/>
    <w:rsid w:val="000C6531"/>
  </w:style>
  <w:style w:type="character" w:customStyle="1" w:styleId="WW-WW8Num2ztrue123451">
    <w:name w:val="WW-WW8Num2ztrue123451"/>
    <w:uiPriority w:val="99"/>
    <w:rsid w:val="000C6531"/>
  </w:style>
  <w:style w:type="character" w:customStyle="1" w:styleId="WW-WW8Num2ztrue1234561">
    <w:name w:val="WW-WW8Num2ztrue1234561"/>
    <w:uiPriority w:val="99"/>
    <w:rsid w:val="000C6531"/>
  </w:style>
  <w:style w:type="character" w:customStyle="1" w:styleId="Standardnpsmoodstavce1">
    <w:name w:val="Standardní písmo odstavce1"/>
    <w:uiPriority w:val="99"/>
    <w:rsid w:val="000C6531"/>
  </w:style>
  <w:style w:type="character" w:customStyle="1" w:styleId="slostrnky1">
    <w:name w:val="Číslo stránky1"/>
    <w:uiPriority w:val="99"/>
    <w:rsid w:val="000C6531"/>
  </w:style>
  <w:style w:type="character" w:customStyle="1" w:styleId="ListLabel1">
    <w:name w:val="ListLabel 1"/>
    <w:uiPriority w:val="99"/>
    <w:rsid w:val="000C6531"/>
    <w:rPr>
      <w:rFonts w:eastAsia="Times New Roman"/>
    </w:rPr>
  </w:style>
  <w:style w:type="character" w:customStyle="1" w:styleId="ListLabel2">
    <w:name w:val="ListLabel 2"/>
    <w:uiPriority w:val="99"/>
    <w:rsid w:val="000C6531"/>
  </w:style>
  <w:style w:type="character" w:customStyle="1" w:styleId="ListLabel3">
    <w:name w:val="ListLabel 3"/>
    <w:uiPriority w:val="99"/>
    <w:rsid w:val="000C6531"/>
    <w:rPr>
      <w:color w:val="00000A"/>
    </w:rPr>
  </w:style>
  <w:style w:type="paragraph" w:customStyle="1" w:styleId="Nadpis">
    <w:name w:val="Nadpis"/>
    <w:basedOn w:val="Normln"/>
    <w:next w:val="Zkladntext"/>
    <w:uiPriority w:val="99"/>
    <w:rsid w:val="000C6531"/>
    <w:pPr>
      <w:keepNext/>
      <w:spacing w:before="240" w:after="120"/>
    </w:pPr>
    <w:rPr>
      <w:rFonts w:eastAsia="Microsoft YaHei"/>
      <w:sz w:val="28"/>
      <w:szCs w:val="28"/>
    </w:rPr>
  </w:style>
  <w:style w:type="paragraph" w:styleId="Zkladntext">
    <w:name w:val="Body Text"/>
    <w:basedOn w:val="Normln"/>
    <w:link w:val="ZkladntextChar"/>
    <w:uiPriority w:val="99"/>
    <w:rsid w:val="000C6531"/>
    <w:pPr>
      <w:spacing w:after="120"/>
    </w:pPr>
    <w:rPr>
      <w:rFonts w:cs="Times New Roman"/>
      <w:sz w:val="20"/>
      <w:szCs w:val="20"/>
    </w:rPr>
  </w:style>
  <w:style w:type="character" w:customStyle="1" w:styleId="ZkladntextChar">
    <w:name w:val="Základní text Char"/>
    <w:link w:val="Zkladntext"/>
    <w:uiPriority w:val="99"/>
    <w:semiHidden/>
    <w:locked/>
    <w:rsid w:val="00656741"/>
    <w:rPr>
      <w:rFonts w:ascii="Arial" w:hAnsi="Arial"/>
      <w:color w:val="00000A"/>
      <w:kern w:val="1"/>
      <w:sz w:val="20"/>
      <w:lang w:val="de-DE"/>
    </w:rPr>
  </w:style>
  <w:style w:type="paragraph" w:styleId="Seznam">
    <w:name w:val="List"/>
    <w:basedOn w:val="Zkladntext"/>
    <w:uiPriority w:val="99"/>
    <w:rsid w:val="000C6531"/>
  </w:style>
  <w:style w:type="paragraph" w:styleId="Titulek">
    <w:name w:val="caption"/>
    <w:basedOn w:val="Normln"/>
    <w:uiPriority w:val="99"/>
    <w:qFormat/>
    <w:rsid w:val="000C6531"/>
    <w:pPr>
      <w:suppressLineNumbers/>
      <w:spacing w:before="120" w:after="120"/>
    </w:pPr>
    <w:rPr>
      <w:i/>
      <w:iCs/>
    </w:rPr>
  </w:style>
  <w:style w:type="paragraph" w:customStyle="1" w:styleId="Rejstk">
    <w:name w:val="Rejstřík"/>
    <w:basedOn w:val="Normln"/>
    <w:uiPriority w:val="99"/>
    <w:rsid w:val="000C6531"/>
    <w:pPr>
      <w:suppressLineNumbers/>
    </w:pPr>
  </w:style>
  <w:style w:type="paragraph" w:customStyle="1" w:styleId="Seznamsodrkami21">
    <w:name w:val="Seznam s odrážkami 21"/>
    <w:basedOn w:val="Normln"/>
    <w:uiPriority w:val="99"/>
    <w:rsid w:val="000C6531"/>
    <w:pPr>
      <w:ind w:firstLine="708"/>
      <w:jc w:val="both"/>
    </w:pPr>
    <w:rPr>
      <w:rFonts w:ascii="Times New Roman" w:hAnsi="Times New Roman" w:cs="Times New Roman"/>
      <w:color w:val="000000"/>
      <w:lang w:val="cs-CZ"/>
    </w:rPr>
  </w:style>
  <w:style w:type="paragraph" w:styleId="Zpat">
    <w:name w:val="footer"/>
    <w:basedOn w:val="Normln"/>
    <w:link w:val="ZpatChar"/>
    <w:uiPriority w:val="99"/>
    <w:rsid w:val="000C6531"/>
    <w:pPr>
      <w:tabs>
        <w:tab w:val="center" w:pos="4536"/>
        <w:tab w:val="right" w:pos="9072"/>
      </w:tabs>
    </w:pPr>
    <w:rPr>
      <w:rFonts w:cs="Times New Roman"/>
    </w:rPr>
  </w:style>
  <w:style w:type="character" w:customStyle="1" w:styleId="ZpatChar">
    <w:name w:val="Zápatí Char"/>
    <w:link w:val="Zpat"/>
    <w:uiPriority w:val="99"/>
    <w:locked/>
    <w:rsid w:val="007E266E"/>
    <w:rPr>
      <w:rFonts w:ascii="Arial" w:hAnsi="Arial"/>
      <w:color w:val="00000A"/>
      <w:kern w:val="1"/>
      <w:sz w:val="24"/>
      <w:lang w:val="de-DE"/>
    </w:rPr>
  </w:style>
  <w:style w:type="paragraph" w:customStyle="1" w:styleId="Normlnweb1">
    <w:name w:val="Normální (web)1"/>
    <w:basedOn w:val="Normln"/>
    <w:uiPriority w:val="99"/>
    <w:rsid w:val="000C6531"/>
    <w:pPr>
      <w:spacing w:before="28" w:after="28"/>
    </w:pPr>
    <w:rPr>
      <w:rFonts w:ascii="Times New Roman" w:hAnsi="Times New Roman" w:cs="Times New Roman"/>
      <w:lang w:val="cs-CZ"/>
    </w:rPr>
  </w:style>
  <w:style w:type="paragraph" w:customStyle="1" w:styleId="Obsahrmce">
    <w:name w:val="Obsah rámce"/>
    <w:basedOn w:val="Zkladntext"/>
    <w:uiPriority w:val="99"/>
    <w:rsid w:val="000C6531"/>
  </w:style>
  <w:style w:type="paragraph" w:customStyle="1" w:styleId="Obsahtabulky">
    <w:name w:val="Obsah tabulky"/>
    <w:basedOn w:val="Normln"/>
    <w:uiPriority w:val="99"/>
    <w:rsid w:val="000C6531"/>
    <w:pPr>
      <w:suppressLineNumbers/>
    </w:pPr>
  </w:style>
  <w:style w:type="paragraph" w:customStyle="1" w:styleId="Nadpistabulky">
    <w:name w:val="Nadpis tabulky"/>
    <w:basedOn w:val="Obsahtabulky"/>
    <w:uiPriority w:val="99"/>
    <w:rsid w:val="000C6531"/>
    <w:pPr>
      <w:jc w:val="center"/>
    </w:pPr>
    <w:rPr>
      <w:b/>
      <w:bCs/>
    </w:rPr>
  </w:style>
  <w:style w:type="paragraph" w:styleId="Zhlav">
    <w:name w:val="header"/>
    <w:basedOn w:val="Normln"/>
    <w:link w:val="ZhlavChar"/>
    <w:uiPriority w:val="99"/>
    <w:rsid w:val="000C6531"/>
    <w:pPr>
      <w:suppressLineNumbers/>
      <w:tabs>
        <w:tab w:val="center" w:pos="4819"/>
        <w:tab w:val="right" w:pos="9638"/>
      </w:tabs>
    </w:pPr>
    <w:rPr>
      <w:rFonts w:cs="Times New Roman"/>
      <w:sz w:val="20"/>
      <w:szCs w:val="20"/>
    </w:rPr>
  </w:style>
  <w:style w:type="character" w:customStyle="1" w:styleId="ZhlavChar">
    <w:name w:val="Záhlaví Char"/>
    <w:link w:val="Zhlav"/>
    <w:uiPriority w:val="99"/>
    <w:semiHidden/>
    <w:locked/>
    <w:rsid w:val="00656741"/>
    <w:rPr>
      <w:rFonts w:ascii="Arial" w:hAnsi="Arial"/>
      <w:color w:val="00000A"/>
      <w:kern w:val="1"/>
      <w:sz w:val="20"/>
      <w:lang w:val="de-DE"/>
    </w:rPr>
  </w:style>
  <w:style w:type="paragraph" w:customStyle="1" w:styleId="ListParagraph1">
    <w:name w:val="List Paragraph1"/>
    <w:basedOn w:val="Normln"/>
    <w:uiPriority w:val="99"/>
    <w:rsid w:val="00493A61"/>
    <w:pPr>
      <w:ind w:left="708"/>
    </w:pPr>
  </w:style>
  <w:style w:type="table" w:styleId="Mkatabulky">
    <w:name w:val="Table Grid"/>
    <w:basedOn w:val="Normlntabulka"/>
    <w:uiPriority w:val="99"/>
    <w:rsid w:val="00C0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0D0C27"/>
    <w:pPr>
      <w:ind w:left="708"/>
    </w:pPr>
  </w:style>
  <w:style w:type="paragraph" w:customStyle="1" w:styleId="RTFUndefined">
    <w:name w:val="RTF_Undefined"/>
    <w:basedOn w:val="Normln"/>
    <w:uiPriority w:val="99"/>
    <w:rsid w:val="00066F98"/>
    <w:pPr>
      <w:widowControl w:val="0"/>
      <w:suppressAutoHyphens w:val="0"/>
    </w:pPr>
    <w:rPr>
      <w:color w:val="auto"/>
      <w:kern w:val="0"/>
      <w:sz w:val="20"/>
      <w:szCs w:val="20"/>
      <w:lang w:val="cs-CZ"/>
    </w:rPr>
  </w:style>
  <w:style w:type="paragraph" w:customStyle="1" w:styleId="Standard">
    <w:name w:val="Standard"/>
    <w:uiPriority w:val="99"/>
    <w:rsid w:val="00066F98"/>
    <w:pPr>
      <w:widowControl w:val="0"/>
      <w:suppressAutoHyphens/>
      <w:autoSpaceDN w:val="0"/>
    </w:pPr>
    <w:rPr>
      <w:kern w:val="3"/>
      <w:sz w:val="24"/>
      <w:szCs w:val="24"/>
      <w:lang w:val="en-US" w:eastAsia="en-US"/>
    </w:rPr>
  </w:style>
  <w:style w:type="paragraph" w:styleId="Seznamsodrkami">
    <w:name w:val="List Bullet"/>
    <w:basedOn w:val="Normln"/>
    <w:uiPriority w:val="99"/>
    <w:rsid w:val="00066F98"/>
    <w:pPr>
      <w:numPr>
        <w:numId w:val="33"/>
      </w:numPr>
      <w:suppressAutoHyphens w:val="0"/>
      <w:spacing w:after="120" w:line="259" w:lineRule="auto"/>
    </w:pPr>
    <w:rPr>
      <w:rFonts w:ascii="Calibri" w:hAnsi="Calibri" w:cs="Calibri"/>
      <w:color w:val="595959"/>
      <w:kern w:val="0"/>
      <w:sz w:val="30"/>
      <w:szCs w:val="30"/>
      <w:lang w:val="cs-CZ" w:eastAsia="ja-JP"/>
    </w:rPr>
  </w:style>
  <w:style w:type="paragraph" w:styleId="FormtovanvHTML">
    <w:name w:val="HTML Preformatted"/>
    <w:basedOn w:val="Normln"/>
    <w:link w:val="FormtovanvHTMLChar"/>
    <w:uiPriority w:val="99"/>
    <w:semiHidden/>
    <w:rsid w:val="00E3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000000"/>
      <w:kern w:val="0"/>
      <w:sz w:val="20"/>
      <w:szCs w:val="20"/>
      <w:lang w:val="cs-CZ"/>
    </w:rPr>
  </w:style>
  <w:style w:type="character" w:customStyle="1" w:styleId="FormtovanvHTMLChar">
    <w:name w:val="Formátovaný v HTML Char"/>
    <w:link w:val="FormtovanvHTML"/>
    <w:uiPriority w:val="99"/>
    <w:semiHidden/>
    <w:locked/>
    <w:rsid w:val="00E32835"/>
    <w:rPr>
      <w:rFonts w:ascii="Courier New" w:hAnsi="Courier New"/>
      <w:color w:val="000000"/>
      <w:sz w:val="20"/>
    </w:rPr>
  </w:style>
  <w:style w:type="character" w:styleId="Hypertextovodkaz">
    <w:name w:val="Hyperlink"/>
    <w:uiPriority w:val="99"/>
    <w:semiHidden/>
    <w:rsid w:val="00380E2A"/>
    <w:rPr>
      <w:rFonts w:cs="Times New Roman"/>
      <w:color w:val="D93300"/>
      <w:u w:val="single"/>
    </w:rPr>
  </w:style>
  <w:style w:type="paragraph" w:styleId="Normlnweb">
    <w:name w:val="Normal (Web)"/>
    <w:basedOn w:val="Normln"/>
    <w:uiPriority w:val="99"/>
    <w:rsid w:val="00E745C0"/>
    <w:pPr>
      <w:suppressAutoHyphens w:val="0"/>
      <w:spacing w:before="100" w:beforeAutospacing="1" w:after="100" w:afterAutospacing="1"/>
    </w:pPr>
    <w:rPr>
      <w:rFonts w:ascii="Times New Roman" w:hAnsi="Times New Roman" w:cs="Times New Roman"/>
      <w:color w:val="auto"/>
      <w:kern w:val="0"/>
      <w:lang w:val="cs-CZ"/>
    </w:rPr>
  </w:style>
  <w:style w:type="paragraph" w:customStyle="1" w:styleId="Textbody">
    <w:name w:val="Text body"/>
    <w:basedOn w:val="Normln"/>
    <w:uiPriority w:val="99"/>
    <w:rsid w:val="00D20C06"/>
    <w:pPr>
      <w:widowControl w:val="0"/>
      <w:spacing w:after="120"/>
    </w:pPr>
    <w:rPr>
      <w:rFonts w:ascii="Times New Roman" w:eastAsia="SimSun" w:hAnsi="Times New Roman" w:cs="Arial, 'Helvetica Neue', Helvet"/>
      <w:kern w:val="0"/>
      <w:lang w:val="cs-CZ" w:eastAsia="zh-CN" w:bidi="hi-IN"/>
    </w:rPr>
  </w:style>
  <w:style w:type="paragraph" w:customStyle="1" w:styleId="Tlotextu">
    <w:name w:val="Tělo textu"/>
    <w:basedOn w:val="Normln"/>
    <w:uiPriority w:val="99"/>
    <w:rsid w:val="003B425B"/>
    <w:pPr>
      <w:spacing w:after="140" w:line="288" w:lineRule="auto"/>
      <w:ind w:left="924" w:hanging="357"/>
    </w:pPr>
    <w:rPr>
      <w:rFonts w:ascii="Calibri" w:hAnsi="Calibri" w:cs="Calibri"/>
      <w:kern w:val="0"/>
      <w:sz w:val="22"/>
      <w:szCs w:val="22"/>
      <w:lang w:val="cs-CZ" w:eastAsia="en-US"/>
    </w:rPr>
  </w:style>
  <w:style w:type="paragraph" w:customStyle="1" w:styleId="Vchozstyl">
    <w:name w:val="Výchozí styl"/>
    <w:uiPriority w:val="99"/>
    <w:rsid w:val="00E94545"/>
    <w:pPr>
      <w:suppressAutoHyphens/>
      <w:spacing w:after="200" w:line="276" w:lineRule="auto"/>
    </w:pPr>
    <w:rPr>
      <w:rFonts w:ascii="Calibri" w:hAnsi="Calibri" w:cs="Calibri"/>
      <w:color w:val="00000A"/>
      <w:sz w:val="22"/>
      <w:szCs w:val="22"/>
      <w:lang w:eastAsia="en-US"/>
    </w:rPr>
  </w:style>
  <w:style w:type="character" w:styleId="Siln">
    <w:name w:val="Strong"/>
    <w:uiPriority w:val="99"/>
    <w:qFormat/>
    <w:locked/>
    <w:rsid w:val="00763D79"/>
    <w:rPr>
      <w:rFonts w:cs="Times New Roman"/>
      <w:b/>
      <w:bCs/>
    </w:rPr>
  </w:style>
  <w:style w:type="paragraph" w:customStyle="1" w:styleId="Vfdchozedstyl">
    <w:name w:val="Výfdchozíed styl"/>
    <w:rsid w:val="00FF162F"/>
    <w:pPr>
      <w:suppressAutoHyphens/>
    </w:pPr>
    <w:rPr>
      <w:kern w:val="2"/>
      <w:sz w:val="24"/>
      <w:lang w:eastAsia="zh-CN" w:bidi="hi-IN"/>
    </w:rPr>
  </w:style>
  <w:style w:type="paragraph" w:customStyle="1" w:styleId="Forme1tovanfdvHTML">
    <w:name w:val="Formáe1tovanýfd v HTML"/>
    <w:basedOn w:val="Vfdchozedstyl"/>
    <w:rsid w:val="00FF1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Norme1lnedweb">
    <w:name w:val="Normáe1lníed (web)"/>
    <w:basedOn w:val="Vfdchozedstyl"/>
    <w:rsid w:val="00FF162F"/>
    <w:pPr>
      <w:spacing w:before="280" w:after="280"/>
    </w:pPr>
  </w:style>
  <w:style w:type="paragraph" w:customStyle="1" w:styleId="Ze1kladnedtext2">
    <w:name w:val="Záe1kladníed text 2"/>
    <w:basedOn w:val="Vfdchozedstyl"/>
    <w:rsid w:val="00FF162F"/>
    <w:pPr>
      <w:jc w:val="both"/>
    </w:pPr>
  </w:style>
  <w:style w:type="paragraph" w:customStyle="1" w:styleId="Default">
    <w:name w:val="Default"/>
    <w:rsid w:val="00FF162F"/>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2D5515"/>
    <w:rPr>
      <w:rFonts w:ascii="Segoe UI" w:hAnsi="Segoe UI" w:cs="Segoe UI"/>
      <w:sz w:val="18"/>
      <w:szCs w:val="18"/>
    </w:rPr>
  </w:style>
  <w:style w:type="character" w:customStyle="1" w:styleId="TextbublinyChar">
    <w:name w:val="Text bubliny Char"/>
    <w:link w:val="Textbubliny"/>
    <w:uiPriority w:val="99"/>
    <w:semiHidden/>
    <w:rsid w:val="002D5515"/>
    <w:rPr>
      <w:rFonts w:ascii="Segoe UI" w:hAnsi="Segoe UI" w:cs="Segoe UI"/>
      <w:color w:val="00000A"/>
      <w:kern w:val="1"/>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91372">
      <w:bodyDiv w:val="1"/>
      <w:marLeft w:val="0"/>
      <w:marRight w:val="0"/>
      <w:marTop w:val="0"/>
      <w:marBottom w:val="0"/>
      <w:divBdr>
        <w:top w:val="none" w:sz="0" w:space="0" w:color="auto"/>
        <w:left w:val="none" w:sz="0" w:space="0" w:color="auto"/>
        <w:bottom w:val="none" w:sz="0" w:space="0" w:color="auto"/>
        <w:right w:val="none" w:sz="0" w:space="0" w:color="auto"/>
      </w:divBdr>
    </w:div>
    <w:div w:id="1468814977">
      <w:marLeft w:val="0"/>
      <w:marRight w:val="0"/>
      <w:marTop w:val="0"/>
      <w:marBottom w:val="0"/>
      <w:divBdr>
        <w:top w:val="none" w:sz="0" w:space="0" w:color="auto"/>
        <w:left w:val="none" w:sz="0" w:space="0" w:color="auto"/>
        <w:bottom w:val="none" w:sz="0" w:space="0" w:color="auto"/>
        <w:right w:val="none" w:sz="0" w:space="0" w:color="auto"/>
      </w:divBdr>
    </w:div>
    <w:div w:id="1468814979">
      <w:marLeft w:val="0"/>
      <w:marRight w:val="0"/>
      <w:marTop w:val="0"/>
      <w:marBottom w:val="0"/>
      <w:divBdr>
        <w:top w:val="none" w:sz="0" w:space="0" w:color="auto"/>
        <w:left w:val="none" w:sz="0" w:space="0" w:color="auto"/>
        <w:bottom w:val="none" w:sz="0" w:space="0" w:color="auto"/>
        <w:right w:val="none" w:sz="0" w:space="0" w:color="auto"/>
      </w:divBdr>
      <w:divsChild>
        <w:div w:id="1468814997">
          <w:marLeft w:val="0"/>
          <w:marRight w:val="0"/>
          <w:marTop w:val="0"/>
          <w:marBottom w:val="0"/>
          <w:divBdr>
            <w:top w:val="none" w:sz="0" w:space="0" w:color="auto"/>
            <w:left w:val="none" w:sz="0" w:space="0" w:color="auto"/>
            <w:bottom w:val="none" w:sz="0" w:space="0" w:color="auto"/>
            <w:right w:val="none" w:sz="0" w:space="0" w:color="auto"/>
          </w:divBdr>
          <w:divsChild>
            <w:div w:id="1468814986">
              <w:marLeft w:val="-300"/>
              <w:marRight w:val="-300"/>
              <w:marTop w:val="0"/>
              <w:marBottom w:val="0"/>
              <w:divBdr>
                <w:top w:val="none" w:sz="0" w:space="0" w:color="auto"/>
                <w:left w:val="none" w:sz="0" w:space="0" w:color="auto"/>
                <w:bottom w:val="none" w:sz="0" w:space="0" w:color="auto"/>
                <w:right w:val="none" w:sz="0" w:space="0" w:color="auto"/>
              </w:divBdr>
              <w:divsChild>
                <w:div w:id="14688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4994">
      <w:marLeft w:val="0"/>
      <w:marRight w:val="0"/>
      <w:marTop w:val="0"/>
      <w:marBottom w:val="0"/>
      <w:divBdr>
        <w:top w:val="none" w:sz="0" w:space="0" w:color="auto"/>
        <w:left w:val="none" w:sz="0" w:space="0" w:color="auto"/>
        <w:bottom w:val="none" w:sz="0" w:space="0" w:color="auto"/>
        <w:right w:val="none" w:sz="0" w:space="0" w:color="auto"/>
      </w:divBdr>
    </w:div>
    <w:div w:id="1468815002">
      <w:marLeft w:val="0"/>
      <w:marRight w:val="0"/>
      <w:marTop w:val="0"/>
      <w:marBottom w:val="0"/>
      <w:divBdr>
        <w:top w:val="none" w:sz="0" w:space="0" w:color="auto"/>
        <w:left w:val="none" w:sz="0" w:space="0" w:color="auto"/>
        <w:bottom w:val="none" w:sz="0" w:space="0" w:color="auto"/>
        <w:right w:val="none" w:sz="0" w:space="0" w:color="auto"/>
      </w:divBdr>
      <w:divsChild>
        <w:div w:id="1468815001">
          <w:marLeft w:val="0"/>
          <w:marRight w:val="0"/>
          <w:marTop w:val="75"/>
          <w:marBottom w:val="75"/>
          <w:divBdr>
            <w:top w:val="none" w:sz="0" w:space="0" w:color="auto"/>
            <w:left w:val="none" w:sz="0" w:space="0" w:color="auto"/>
            <w:bottom w:val="none" w:sz="0" w:space="0" w:color="auto"/>
            <w:right w:val="none" w:sz="0" w:space="0" w:color="auto"/>
          </w:divBdr>
          <w:divsChild>
            <w:div w:id="1468814995">
              <w:marLeft w:val="0"/>
              <w:marRight w:val="0"/>
              <w:marTop w:val="0"/>
              <w:marBottom w:val="0"/>
              <w:divBdr>
                <w:top w:val="none" w:sz="0" w:space="0" w:color="auto"/>
                <w:left w:val="none" w:sz="0" w:space="0" w:color="auto"/>
                <w:bottom w:val="none" w:sz="0" w:space="0" w:color="auto"/>
                <w:right w:val="none" w:sz="0" w:space="0" w:color="auto"/>
              </w:divBdr>
              <w:divsChild>
                <w:div w:id="1468814982">
                  <w:marLeft w:val="0"/>
                  <w:marRight w:val="0"/>
                  <w:marTop w:val="0"/>
                  <w:marBottom w:val="0"/>
                  <w:divBdr>
                    <w:top w:val="none" w:sz="0" w:space="0" w:color="auto"/>
                    <w:left w:val="none" w:sz="0" w:space="0" w:color="auto"/>
                    <w:bottom w:val="none" w:sz="0" w:space="0" w:color="auto"/>
                    <w:right w:val="none" w:sz="0" w:space="0" w:color="auto"/>
                  </w:divBdr>
                  <w:divsChild>
                    <w:div w:id="1468814980">
                      <w:marLeft w:val="0"/>
                      <w:marRight w:val="0"/>
                      <w:marTop w:val="0"/>
                      <w:marBottom w:val="0"/>
                      <w:divBdr>
                        <w:top w:val="none" w:sz="0" w:space="0" w:color="auto"/>
                        <w:left w:val="none" w:sz="0" w:space="0" w:color="auto"/>
                        <w:bottom w:val="single" w:sz="6" w:space="0" w:color="E7E7E7"/>
                        <w:right w:val="none" w:sz="0" w:space="0" w:color="auto"/>
                      </w:divBdr>
                      <w:divsChild>
                        <w:div w:id="1468814984">
                          <w:marLeft w:val="0"/>
                          <w:marRight w:val="0"/>
                          <w:marTop w:val="0"/>
                          <w:marBottom w:val="0"/>
                          <w:divBdr>
                            <w:top w:val="none" w:sz="0" w:space="0" w:color="auto"/>
                            <w:left w:val="none" w:sz="0" w:space="0" w:color="auto"/>
                            <w:bottom w:val="none" w:sz="0" w:space="0" w:color="auto"/>
                            <w:right w:val="none" w:sz="0" w:space="0" w:color="auto"/>
                          </w:divBdr>
                          <w:divsChild>
                            <w:div w:id="1468814987">
                              <w:marLeft w:val="150"/>
                              <w:marRight w:val="0"/>
                              <w:marTop w:val="0"/>
                              <w:marBottom w:val="0"/>
                              <w:divBdr>
                                <w:top w:val="none" w:sz="0" w:space="0" w:color="auto"/>
                                <w:left w:val="none" w:sz="0" w:space="0" w:color="auto"/>
                                <w:bottom w:val="none" w:sz="0" w:space="0" w:color="auto"/>
                                <w:right w:val="none" w:sz="0" w:space="0" w:color="auto"/>
                              </w:divBdr>
                              <w:divsChild>
                                <w:div w:id="1468814990">
                                  <w:marLeft w:val="0"/>
                                  <w:marRight w:val="0"/>
                                  <w:marTop w:val="0"/>
                                  <w:marBottom w:val="0"/>
                                  <w:divBdr>
                                    <w:top w:val="none" w:sz="0" w:space="0" w:color="auto"/>
                                    <w:left w:val="none" w:sz="0" w:space="0" w:color="auto"/>
                                    <w:bottom w:val="none" w:sz="0" w:space="0" w:color="auto"/>
                                    <w:right w:val="none" w:sz="0" w:space="0" w:color="auto"/>
                                  </w:divBdr>
                                  <w:divsChild>
                                    <w:div w:id="1468814998">
                                      <w:marLeft w:val="0"/>
                                      <w:marRight w:val="0"/>
                                      <w:marTop w:val="0"/>
                                      <w:marBottom w:val="0"/>
                                      <w:divBdr>
                                        <w:top w:val="none" w:sz="0" w:space="0" w:color="auto"/>
                                        <w:left w:val="none" w:sz="0" w:space="0" w:color="auto"/>
                                        <w:bottom w:val="none" w:sz="0" w:space="0" w:color="auto"/>
                                        <w:right w:val="none" w:sz="0" w:space="0" w:color="auto"/>
                                      </w:divBdr>
                                      <w:divsChild>
                                        <w:div w:id="14688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815003">
      <w:marLeft w:val="0"/>
      <w:marRight w:val="0"/>
      <w:marTop w:val="0"/>
      <w:marBottom w:val="0"/>
      <w:divBdr>
        <w:top w:val="none" w:sz="0" w:space="0" w:color="auto"/>
        <w:left w:val="none" w:sz="0" w:space="0" w:color="auto"/>
        <w:bottom w:val="none" w:sz="0" w:space="0" w:color="auto"/>
        <w:right w:val="none" w:sz="0" w:space="0" w:color="auto"/>
      </w:divBdr>
      <w:divsChild>
        <w:div w:id="1468814981">
          <w:marLeft w:val="0"/>
          <w:marRight w:val="0"/>
          <w:marTop w:val="0"/>
          <w:marBottom w:val="0"/>
          <w:divBdr>
            <w:top w:val="none" w:sz="0" w:space="0" w:color="auto"/>
            <w:left w:val="none" w:sz="0" w:space="0" w:color="auto"/>
            <w:bottom w:val="none" w:sz="0" w:space="0" w:color="auto"/>
            <w:right w:val="none" w:sz="0" w:space="0" w:color="auto"/>
          </w:divBdr>
          <w:divsChild>
            <w:div w:id="1468814999">
              <w:marLeft w:val="0"/>
              <w:marRight w:val="0"/>
              <w:marTop w:val="30"/>
              <w:marBottom w:val="0"/>
              <w:divBdr>
                <w:top w:val="none" w:sz="0" w:space="0" w:color="auto"/>
                <w:left w:val="none" w:sz="0" w:space="0" w:color="auto"/>
                <w:bottom w:val="none" w:sz="0" w:space="0" w:color="auto"/>
                <w:right w:val="none" w:sz="0" w:space="0" w:color="auto"/>
              </w:divBdr>
              <w:divsChild>
                <w:div w:id="1468814985">
                  <w:marLeft w:val="0"/>
                  <w:marRight w:val="0"/>
                  <w:marTop w:val="0"/>
                  <w:marBottom w:val="0"/>
                  <w:divBdr>
                    <w:top w:val="none" w:sz="0" w:space="0" w:color="auto"/>
                    <w:left w:val="none" w:sz="0" w:space="0" w:color="auto"/>
                    <w:bottom w:val="none" w:sz="0" w:space="0" w:color="auto"/>
                    <w:right w:val="none" w:sz="0" w:space="0" w:color="auto"/>
                  </w:divBdr>
                  <w:divsChild>
                    <w:div w:id="1468815005">
                      <w:marLeft w:val="0"/>
                      <w:marRight w:val="0"/>
                      <w:marTop w:val="0"/>
                      <w:marBottom w:val="0"/>
                      <w:divBdr>
                        <w:top w:val="none" w:sz="0" w:space="0" w:color="auto"/>
                        <w:left w:val="none" w:sz="0" w:space="0" w:color="auto"/>
                        <w:bottom w:val="none" w:sz="0" w:space="0" w:color="auto"/>
                        <w:right w:val="none" w:sz="0" w:space="0" w:color="auto"/>
                      </w:divBdr>
                      <w:divsChild>
                        <w:div w:id="1468814976">
                          <w:marLeft w:val="0"/>
                          <w:marRight w:val="0"/>
                          <w:marTop w:val="0"/>
                          <w:marBottom w:val="0"/>
                          <w:divBdr>
                            <w:top w:val="none" w:sz="0" w:space="0" w:color="auto"/>
                            <w:left w:val="none" w:sz="0" w:space="0" w:color="auto"/>
                            <w:bottom w:val="none" w:sz="0" w:space="0" w:color="auto"/>
                            <w:right w:val="none" w:sz="0" w:space="0" w:color="auto"/>
                          </w:divBdr>
                          <w:divsChild>
                            <w:div w:id="1468814993">
                              <w:marLeft w:val="0"/>
                              <w:marRight w:val="0"/>
                              <w:marTop w:val="0"/>
                              <w:marBottom w:val="0"/>
                              <w:divBdr>
                                <w:top w:val="none" w:sz="0" w:space="0" w:color="auto"/>
                                <w:left w:val="none" w:sz="0" w:space="0" w:color="auto"/>
                                <w:bottom w:val="none" w:sz="0" w:space="0" w:color="auto"/>
                                <w:right w:val="none" w:sz="0" w:space="0" w:color="auto"/>
                              </w:divBdr>
                              <w:divsChild>
                                <w:div w:id="14688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15006">
      <w:marLeft w:val="0"/>
      <w:marRight w:val="0"/>
      <w:marTop w:val="0"/>
      <w:marBottom w:val="0"/>
      <w:divBdr>
        <w:top w:val="none" w:sz="0" w:space="0" w:color="auto"/>
        <w:left w:val="none" w:sz="0" w:space="0" w:color="auto"/>
        <w:bottom w:val="none" w:sz="0" w:space="0" w:color="auto"/>
        <w:right w:val="none" w:sz="0" w:space="0" w:color="auto"/>
      </w:divBdr>
      <w:divsChild>
        <w:div w:id="1468815000">
          <w:marLeft w:val="0"/>
          <w:marRight w:val="0"/>
          <w:marTop w:val="0"/>
          <w:marBottom w:val="0"/>
          <w:divBdr>
            <w:top w:val="none" w:sz="0" w:space="0" w:color="auto"/>
            <w:left w:val="none" w:sz="0" w:space="0" w:color="auto"/>
            <w:bottom w:val="none" w:sz="0" w:space="0" w:color="auto"/>
            <w:right w:val="none" w:sz="0" w:space="0" w:color="auto"/>
          </w:divBdr>
          <w:divsChild>
            <w:div w:id="1468815004">
              <w:marLeft w:val="0"/>
              <w:marRight w:val="0"/>
              <w:marTop w:val="0"/>
              <w:marBottom w:val="0"/>
              <w:divBdr>
                <w:top w:val="none" w:sz="0" w:space="0" w:color="auto"/>
                <w:left w:val="none" w:sz="0" w:space="0" w:color="auto"/>
                <w:bottom w:val="none" w:sz="0" w:space="0" w:color="auto"/>
                <w:right w:val="none" w:sz="0" w:space="0" w:color="auto"/>
              </w:divBdr>
              <w:divsChild>
                <w:div w:id="1468814992">
                  <w:marLeft w:val="0"/>
                  <w:marRight w:val="0"/>
                  <w:marTop w:val="0"/>
                  <w:marBottom w:val="0"/>
                  <w:divBdr>
                    <w:top w:val="none" w:sz="0" w:space="0" w:color="auto"/>
                    <w:left w:val="none" w:sz="0" w:space="0" w:color="auto"/>
                    <w:bottom w:val="none" w:sz="0" w:space="0" w:color="auto"/>
                    <w:right w:val="none" w:sz="0" w:space="0" w:color="auto"/>
                  </w:divBdr>
                  <w:divsChild>
                    <w:div w:id="1468814991">
                      <w:marLeft w:val="0"/>
                      <w:marRight w:val="0"/>
                      <w:marTop w:val="0"/>
                      <w:marBottom w:val="0"/>
                      <w:divBdr>
                        <w:top w:val="none" w:sz="0" w:space="0" w:color="auto"/>
                        <w:left w:val="none" w:sz="0" w:space="0" w:color="auto"/>
                        <w:bottom w:val="none" w:sz="0" w:space="0" w:color="auto"/>
                        <w:right w:val="none" w:sz="0" w:space="0" w:color="auto"/>
                      </w:divBdr>
                      <w:divsChild>
                        <w:div w:id="1468814978">
                          <w:marLeft w:val="0"/>
                          <w:marRight w:val="0"/>
                          <w:marTop w:val="0"/>
                          <w:marBottom w:val="0"/>
                          <w:divBdr>
                            <w:top w:val="none" w:sz="0" w:space="0" w:color="auto"/>
                            <w:left w:val="none" w:sz="0" w:space="0" w:color="auto"/>
                            <w:bottom w:val="none" w:sz="0" w:space="0" w:color="auto"/>
                            <w:right w:val="none" w:sz="0" w:space="0" w:color="auto"/>
                          </w:divBdr>
                          <w:divsChild>
                            <w:div w:id="1468814983">
                              <w:marLeft w:val="975"/>
                              <w:marRight w:val="0"/>
                              <w:marTop w:val="0"/>
                              <w:marBottom w:val="0"/>
                              <w:divBdr>
                                <w:top w:val="none" w:sz="0" w:space="0" w:color="auto"/>
                                <w:left w:val="none" w:sz="0" w:space="0" w:color="auto"/>
                                <w:bottom w:val="dotted" w:sz="12" w:space="0" w:color="E6E7E6"/>
                                <w:right w:val="none" w:sz="0" w:space="0" w:color="auto"/>
                              </w:divBdr>
                            </w:div>
                          </w:divsChild>
                        </w:div>
                      </w:divsChild>
                    </w:div>
                  </w:divsChild>
                </w:div>
              </w:divsChild>
            </w:div>
          </w:divsChild>
        </w:div>
      </w:divsChild>
    </w:div>
    <w:div w:id="1468815007">
      <w:marLeft w:val="0"/>
      <w:marRight w:val="0"/>
      <w:marTop w:val="0"/>
      <w:marBottom w:val="0"/>
      <w:divBdr>
        <w:top w:val="none" w:sz="0" w:space="0" w:color="auto"/>
        <w:left w:val="none" w:sz="0" w:space="0" w:color="auto"/>
        <w:bottom w:val="none" w:sz="0" w:space="0" w:color="auto"/>
        <w:right w:val="none" w:sz="0" w:space="0" w:color="auto"/>
      </w:divBdr>
    </w:div>
    <w:div w:id="1468815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lpstr>
    </vt:vector>
  </TitlesOfParts>
  <Company>Parlament ČR</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Ludvík Šulda</dc:creator>
  <cp:keywords/>
  <dc:description/>
  <cp:lastModifiedBy>Cechova</cp:lastModifiedBy>
  <cp:revision>5</cp:revision>
  <cp:lastPrinted>2018-10-19T07:02:00Z</cp:lastPrinted>
  <dcterms:created xsi:type="dcterms:W3CDTF">2018-10-19T06:31:00Z</dcterms:created>
  <dcterms:modified xsi:type="dcterms:W3CDTF">2018-10-19T07:59:00Z</dcterms:modified>
</cp:coreProperties>
</file>